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0070C0"/>
        <w:tblLook w:val="04A0" w:firstRow="1" w:lastRow="0" w:firstColumn="1" w:lastColumn="0" w:noHBand="0" w:noVBand="1"/>
      </w:tblPr>
      <w:tblGrid>
        <w:gridCol w:w="5030"/>
      </w:tblGrid>
      <w:tr w:rsidR="00F565A0" w14:paraId="6B05C1F0" w14:textId="77777777" w:rsidTr="00F565A0">
        <w:trPr>
          <w:trHeight w:val="2582"/>
        </w:trPr>
        <w:tc>
          <w:tcPr>
            <w:tcW w:w="5030" w:type="dxa"/>
            <w:shd w:val="clear" w:color="auto" w:fill="0070C0"/>
          </w:tcPr>
          <w:p w14:paraId="23D4AB56" w14:textId="77777777" w:rsidR="00F565A0" w:rsidRPr="00232E95" w:rsidRDefault="00F565A0" w:rsidP="00D44118">
            <w:pPr>
              <w:pStyle w:val="Heading2"/>
              <w:rPr>
                <w:color w:val="FFFFFF" w:themeColor="background1"/>
              </w:rPr>
            </w:pPr>
            <w:r w:rsidRPr="00232E95">
              <w:rPr>
                <w:color w:val="FFFFFF" w:themeColor="background1"/>
              </w:rPr>
              <w:t>OVERVIEW</w:t>
            </w:r>
          </w:p>
          <w:p w14:paraId="30BDD843" w14:textId="77777777" w:rsidR="00637275" w:rsidRPr="00637275" w:rsidRDefault="00637275" w:rsidP="00637275">
            <w:pPr>
              <w:rPr>
                <w:rFonts w:ascii="Calibri" w:hAnsi="Calibri" w:cs="Calibri"/>
                <w:color w:val="FFFFFF" w:themeColor="background1"/>
                <w:sz w:val="20"/>
                <w:szCs w:val="20"/>
              </w:rPr>
            </w:pPr>
            <w:r w:rsidRPr="00637275">
              <w:rPr>
                <w:rFonts w:ascii="Calibri" w:hAnsi="Calibri" w:cs="Calibri"/>
                <w:bCs/>
                <w:color w:val="FFFFFF" w:themeColor="background1"/>
                <w:sz w:val="20"/>
                <w:szCs w:val="20"/>
              </w:rPr>
              <w:t>The City of Lynn</w:t>
            </w:r>
            <w:r w:rsidRPr="00637275">
              <w:rPr>
                <w:rFonts w:ascii="Calibri" w:hAnsi="Calibri" w:cs="Calibri"/>
                <w:color w:val="FFFFFF" w:themeColor="background1"/>
                <w:sz w:val="20"/>
                <w:szCs w:val="20"/>
              </w:rPr>
              <w:t> is the 9th largest municipality in Massachusetts</w:t>
            </w:r>
            <w:r w:rsidRPr="00637275">
              <w:rPr>
                <w:rFonts w:ascii="Calibri" w:hAnsi="Calibri" w:cs="Calibri"/>
                <w:color w:val="FFFFFF" w:themeColor="background1"/>
                <w:sz w:val="20"/>
                <w:szCs w:val="20"/>
                <w:vertAlign w:val="superscript"/>
              </w:rPr>
              <w:t xml:space="preserve"> </w:t>
            </w:r>
            <w:r w:rsidRPr="00637275">
              <w:rPr>
                <w:rFonts w:ascii="Calibri" w:hAnsi="Calibri" w:cs="Calibri"/>
                <w:color w:val="FFFFFF" w:themeColor="background1"/>
                <w:sz w:val="20"/>
                <w:szCs w:val="20"/>
              </w:rPr>
              <w:t xml:space="preserve">and the largest city in Essex County. Situated on the Atlantic Ocean, less than 10 miles north of Boston. Lynn has a population of 94,299 and about 55.4% of its housing units are renter-occupied. Lynn has a long and notable history of shoe making and in the late 1800’s, the </w:t>
            </w:r>
            <w:r w:rsidRPr="00637275">
              <w:rPr>
                <w:rFonts w:ascii="Calibri" w:hAnsi="Calibri" w:cs="Calibri"/>
                <w:bCs/>
                <w:color w:val="FFFFFF" w:themeColor="background1"/>
                <w:sz w:val="20"/>
                <w:szCs w:val="20"/>
              </w:rPr>
              <w:t>inventor of the shoe-lasting machine</w:t>
            </w:r>
            <w:r w:rsidRPr="00637275">
              <w:rPr>
                <w:rFonts w:ascii="Calibri" w:hAnsi="Calibri" w:cs="Calibri"/>
                <w:b/>
                <w:color w:val="FFFFFF" w:themeColor="background1"/>
                <w:sz w:val="20"/>
                <w:szCs w:val="20"/>
              </w:rPr>
              <w:t xml:space="preserve">, </w:t>
            </w:r>
            <w:r w:rsidRPr="00637275">
              <w:rPr>
                <w:rFonts w:ascii="Calibri" w:hAnsi="Calibri" w:cs="Calibri"/>
                <w:color w:val="FFFFFF" w:themeColor="background1"/>
                <w:sz w:val="20"/>
                <w:szCs w:val="20"/>
              </w:rPr>
              <w:t>Jan Matzeliger not only revolutionized the shoe industry but made the city the "shoe capital of the world</w:t>
            </w:r>
            <w:r w:rsidR="00B511BD">
              <w:rPr>
                <w:rFonts w:ascii="Calibri" w:hAnsi="Calibri" w:cs="Calibri"/>
                <w:color w:val="FFFFFF" w:themeColor="background1"/>
                <w:sz w:val="20"/>
                <w:szCs w:val="20"/>
              </w:rPr>
              <w:t>.”</w:t>
            </w:r>
            <w:r w:rsidRPr="00637275">
              <w:rPr>
                <w:rFonts w:ascii="Calibri" w:hAnsi="Calibri" w:cs="Calibri"/>
                <w:color w:val="FFFFFF" w:themeColor="background1"/>
                <w:sz w:val="20"/>
                <w:szCs w:val="20"/>
              </w:rPr>
              <w:t xml:space="preserve"> Lynn is also well known as the location of the first jet engine built in the U.S. as General Electric (GE) formed in the city and continues a presence to this day. </w:t>
            </w:r>
          </w:p>
          <w:p w14:paraId="7E1E49E5" w14:textId="77777777" w:rsidR="00F565A0" w:rsidRPr="00F565A0" w:rsidRDefault="00F565A0" w:rsidP="00D44118">
            <w:pPr>
              <w:rPr>
                <w:rFonts w:ascii="Calibri" w:hAnsi="Calibri" w:cs="Calibri"/>
                <w:color w:val="FFFFFF" w:themeColor="background1"/>
                <w:sz w:val="20"/>
                <w:szCs w:val="20"/>
              </w:rPr>
            </w:pPr>
          </w:p>
        </w:tc>
      </w:tr>
    </w:tbl>
    <w:p w14:paraId="56EDF5D1" w14:textId="77777777" w:rsidR="00AD5E60" w:rsidRDefault="00AD5E60" w:rsidP="00AD5E60">
      <w:pPr>
        <w:pStyle w:val="Heading2"/>
        <w:spacing w:before="0" w:after="0"/>
        <w:rPr>
          <w:color w:val="0070C0"/>
        </w:rPr>
      </w:pPr>
    </w:p>
    <w:p w14:paraId="01FC46D8" w14:textId="77777777" w:rsidR="00AD5E60" w:rsidRPr="00AE38D1" w:rsidRDefault="00AD5E60" w:rsidP="00AD5E60">
      <w:pPr>
        <w:pStyle w:val="Heading2"/>
        <w:spacing w:before="0" w:after="0"/>
        <w:rPr>
          <w:color w:val="0070C0"/>
        </w:rPr>
      </w:pPr>
      <w:r w:rsidRPr="00AE38D1">
        <w:rPr>
          <w:color w:val="0070C0"/>
        </w:rPr>
        <w:t>Schools</w:t>
      </w:r>
    </w:p>
    <w:p w14:paraId="46367FDF" w14:textId="77777777" w:rsidR="00AD5E60" w:rsidRPr="00020906" w:rsidRDefault="00AD5E60" w:rsidP="00AD5E60">
      <w:pPr>
        <w:rPr>
          <w:rFonts w:ascii="Calibri" w:hAnsi="Calibri" w:cs="Calibri"/>
          <w:color w:val="0070C0"/>
          <w:sz w:val="16"/>
          <w:szCs w:val="16"/>
        </w:rPr>
      </w:pPr>
    </w:p>
    <w:p w14:paraId="33D458B8" w14:textId="77777777" w:rsidR="00AD5E60" w:rsidRDefault="00487673" w:rsidP="00AD5E60">
      <w:pPr>
        <w:rPr>
          <w:rFonts w:ascii="Calibri" w:hAnsi="Calibri" w:cs="Calibri"/>
          <w:color w:val="0070C0"/>
          <w:sz w:val="20"/>
          <w:szCs w:val="20"/>
        </w:rPr>
      </w:pPr>
      <w:r>
        <w:rPr>
          <w:rFonts w:ascii="Calibri" w:hAnsi="Calibri" w:cs="Calibri"/>
          <w:color w:val="0070C0"/>
          <w:sz w:val="20"/>
          <w:szCs w:val="20"/>
        </w:rPr>
        <w:t>Lynn Woods</w:t>
      </w:r>
      <w:r w:rsidR="00D2184F">
        <w:rPr>
          <w:rFonts w:ascii="Calibri" w:hAnsi="Calibri" w:cs="Calibri"/>
          <w:color w:val="0070C0"/>
          <w:sz w:val="20"/>
          <w:szCs w:val="20"/>
        </w:rPr>
        <w:t xml:space="preserve"> Elementary</w:t>
      </w:r>
      <w:r w:rsidR="009B1B09" w:rsidRPr="009B1B09">
        <w:rPr>
          <w:rFonts w:ascii="Calibri" w:hAnsi="Calibri" w:cs="Calibri"/>
          <w:color w:val="0070C0"/>
          <w:sz w:val="20"/>
          <w:szCs w:val="20"/>
        </w:rPr>
        <w:t xml:space="preserve"> School </w:t>
      </w:r>
      <w:r w:rsidR="00AD5E60">
        <w:rPr>
          <w:rFonts w:ascii="Calibri" w:hAnsi="Calibri" w:cs="Calibri"/>
          <w:color w:val="0070C0"/>
          <w:sz w:val="20"/>
          <w:szCs w:val="20"/>
        </w:rPr>
        <w:t>(</w:t>
      </w:r>
      <w:r w:rsidR="005117FE">
        <w:rPr>
          <w:rFonts w:ascii="Calibri" w:hAnsi="Calibri" w:cs="Calibri"/>
          <w:color w:val="0070C0"/>
          <w:sz w:val="20"/>
          <w:szCs w:val="20"/>
        </w:rPr>
        <w:t xml:space="preserve">Grades </w:t>
      </w:r>
      <w:r w:rsidR="00D2184F">
        <w:rPr>
          <w:rFonts w:ascii="Calibri" w:hAnsi="Calibri" w:cs="Calibri"/>
          <w:color w:val="0070C0"/>
          <w:sz w:val="20"/>
          <w:szCs w:val="20"/>
        </w:rPr>
        <w:t xml:space="preserve">K – </w:t>
      </w:r>
      <w:r>
        <w:rPr>
          <w:rFonts w:ascii="Calibri" w:hAnsi="Calibri" w:cs="Calibri"/>
          <w:color w:val="0070C0"/>
          <w:sz w:val="20"/>
          <w:szCs w:val="20"/>
        </w:rPr>
        <w:t>5</w:t>
      </w:r>
      <w:r w:rsidR="00AD5E60">
        <w:rPr>
          <w:rFonts w:ascii="Calibri" w:hAnsi="Calibri" w:cs="Calibri"/>
          <w:color w:val="0070C0"/>
          <w:sz w:val="20"/>
          <w:szCs w:val="20"/>
        </w:rPr>
        <w:t>)</w:t>
      </w:r>
    </w:p>
    <w:p w14:paraId="745C58FE" w14:textId="77777777" w:rsidR="00AD5E60" w:rsidRDefault="00AD5E60" w:rsidP="00AD5E60">
      <w:pPr>
        <w:rPr>
          <w:rFonts w:ascii="Calibri" w:hAnsi="Calibri" w:cs="Calibri"/>
          <w:color w:val="0070C0"/>
          <w:sz w:val="20"/>
          <w:szCs w:val="20"/>
        </w:rPr>
      </w:pPr>
      <w:r>
        <w:rPr>
          <w:rFonts w:ascii="Calibri" w:hAnsi="Calibri" w:cs="Calibri"/>
          <w:color w:val="0070C0"/>
          <w:sz w:val="20"/>
          <w:szCs w:val="20"/>
        </w:rPr>
        <w:t xml:space="preserve">Great Schools Rating: </w:t>
      </w:r>
      <w:r w:rsidR="00487673">
        <w:rPr>
          <w:rFonts w:ascii="Calibri" w:hAnsi="Calibri" w:cs="Calibri"/>
          <w:color w:val="0070C0"/>
          <w:sz w:val="20"/>
          <w:szCs w:val="20"/>
        </w:rPr>
        <w:t>8</w:t>
      </w:r>
      <w:r w:rsidR="00D2184F">
        <w:rPr>
          <w:rFonts w:ascii="Calibri" w:hAnsi="Calibri" w:cs="Calibri"/>
          <w:color w:val="0070C0"/>
          <w:sz w:val="20"/>
          <w:szCs w:val="20"/>
        </w:rPr>
        <w:t>/10</w:t>
      </w:r>
    </w:p>
    <w:p w14:paraId="15CEF36C" w14:textId="77777777" w:rsidR="00641FA2" w:rsidRPr="006E65C6" w:rsidRDefault="00641FA2" w:rsidP="00641FA2">
      <w:pPr>
        <w:rPr>
          <w:rFonts w:ascii="Calibri" w:hAnsi="Calibri" w:cs="Calibri"/>
          <w:color w:val="0070C0"/>
          <w:sz w:val="16"/>
          <w:szCs w:val="16"/>
        </w:rPr>
      </w:pPr>
    </w:p>
    <w:p w14:paraId="3F5D467C" w14:textId="77777777" w:rsidR="00641FA2" w:rsidRDefault="00B3234E" w:rsidP="00641FA2">
      <w:pPr>
        <w:rPr>
          <w:rFonts w:ascii="Calibri" w:hAnsi="Calibri" w:cs="Calibri"/>
          <w:color w:val="0070C0"/>
          <w:sz w:val="20"/>
          <w:szCs w:val="20"/>
        </w:rPr>
      </w:pPr>
      <w:r>
        <w:rPr>
          <w:rFonts w:ascii="Calibri" w:hAnsi="Calibri" w:cs="Calibri"/>
          <w:color w:val="0070C0"/>
          <w:sz w:val="20"/>
          <w:szCs w:val="20"/>
        </w:rPr>
        <w:t>Shoemaker</w:t>
      </w:r>
      <w:r w:rsidR="00641FA2">
        <w:rPr>
          <w:rFonts w:ascii="Calibri" w:hAnsi="Calibri" w:cs="Calibri"/>
          <w:color w:val="0070C0"/>
          <w:sz w:val="20"/>
          <w:szCs w:val="20"/>
        </w:rPr>
        <w:t xml:space="preserve"> Elementary School (Grades </w:t>
      </w:r>
      <w:r>
        <w:rPr>
          <w:rFonts w:ascii="Calibri" w:hAnsi="Calibri" w:cs="Calibri"/>
          <w:color w:val="0070C0"/>
          <w:sz w:val="20"/>
          <w:szCs w:val="20"/>
        </w:rPr>
        <w:t>PK – 5</w:t>
      </w:r>
      <w:r w:rsidR="00641FA2">
        <w:rPr>
          <w:rFonts w:ascii="Calibri" w:hAnsi="Calibri" w:cs="Calibri"/>
          <w:color w:val="0070C0"/>
          <w:sz w:val="20"/>
          <w:szCs w:val="20"/>
        </w:rPr>
        <w:t>)</w:t>
      </w:r>
    </w:p>
    <w:p w14:paraId="7865CB20" w14:textId="77777777" w:rsidR="005117FE" w:rsidRDefault="00B3234E" w:rsidP="00AD5E60">
      <w:pPr>
        <w:rPr>
          <w:rFonts w:ascii="Calibri" w:hAnsi="Calibri" w:cs="Calibri"/>
          <w:color w:val="0070C0"/>
          <w:sz w:val="20"/>
          <w:szCs w:val="20"/>
        </w:rPr>
      </w:pPr>
      <w:r>
        <w:rPr>
          <w:rFonts w:ascii="Calibri" w:hAnsi="Calibri" w:cs="Calibri"/>
          <w:color w:val="0070C0"/>
          <w:sz w:val="20"/>
          <w:szCs w:val="20"/>
        </w:rPr>
        <w:t>Great Schools Rating: 6</w:t>
      </w:r>
      <w:r w:rsidR="00641FA2" w:rsidRPr="00AE38D1">
        <w:rPr>
          <w:rFonts w:ascii="Calibri" w:hAnsi="Calibri" w:cs="Calibri"/>
          <w:color w:val="0070C0"/>
          <w:sz w:val="20"/>
          <w:szCs w:val="20"/>
        </w:rPr>
        <w:t>/10</w:t>
      </w:r>
    </w:p>
    <w:p w14:paraId="742E80C9" w14:textId="77777777" w:rsidR="00F10DE7" w:rsidRPr="00F10DE7" w:rsidRDefault="00F10DE7" w:rsidP="00AD5E60">
      <w:pPr>
        <w:rPr>
          <w:rFonts w:ascii="Calibri" w:hAnsi="Calibri" w:cs="Calibri"/>
          <w:color w:val="0070C0"/>
          <w:sz w:val="20"/>
          <w:szCs w:val="20"/>
        </w:rPr>
      </w:pPr>
    </w:p>
    <w:p w14:paraId="370F8A18" w14:textId="77777777" w:rsidR="00F10DE7" w:rsidRDefault="00F10DE7" w:rsidP="00F10DE7">
      <w:pPr>
        <w:rPr>
          <w:rFonts w:ascii="Calibri" w:hAnsi="Calibri" w:cs="Calibri"/>
          <w:color w:val="0070C0"/>
          <w:sz w:val="20"/>
          <w:szCs w:val="20"/>
        </w:rPr>
      </w:pPr>
      <w:r>
        <w:rPr>
          <w:rFonts w:ascii="Calibri" w:hAnsi="Calibri" w:cs="Calibri"/>
          <w:color w:val="0070C0"/>
          <w:sz w:val="20"/>
          <w:szCs w:val="20"/>
        </w:rPr>
        <w:t>Edward A. Sisson Elementary School (Grades K – 5)</w:t>
      </w:r>
    </w:p>
    <w:p w14:paraId="6A3183EC" w14:textId="77777777" w:rsidR="00F10DE7" w:rsidRDefault="00F10DE7" w:rsidP="00F10DE7">
      <w:pPr>
        <w:rPr>
          <w:rFonts w:ascii="Calibri" w:hAnsi="Calibri" w:cs="Calibri"/>
          <w:color w:val="0070C0"/>
          <w:sz w:val="20"/>
          <w:szCs w:val="20"/>
        </w:rPr>
      </w:pPr>
      <w:r>
        <w:rPr>
          <w:rFonts w:ascii="Calibri" w:hAnsi="Calibri" w:cs="Calibri"/>
          <w:color w:val="0070C0"/>
          <w:sz w:val="20"/>
          <w:szCs w:val="20"/>
        </w:rPr>
        <w:t>Great Schools Rating: 6</w:t>
      </w:r>
      <w:r w:rsidRPr="00AE38D1">
        <w:rPr>
          <w:rFonts w:ascii="Calibri" w:hAnsi="Calibri" w:cs="Calibri"/>
          <w:color w:val="0070C0"/>
          <w:sz w:val="20"/>
          <w:szCs w:val="20"/>
        </w:rPr>
        <w:t>/10</w:t>
      </w:r>
    </w:p>
    <w:p w14:paraId="089EE056" w14:textId="77777777" w:rsidR="00BC098F" w:rsidRPr="00CA27DF" w:rsidRDefault="00BC098F" w:rsidP="00BC098F">
      <w:pPr>
        <w:rPr>
          <w:rFonts w:ascii="Calibri" w:hAnsi="Calibri" w:cs="Calibri"/>
          <w:color w:val="0070C0"/>
          <w:sz w:val="16"/>
          <w:szCs w:val="16"/>
        </w:rPr>
      </w:pPr>
    </w:p>
    <w:p w14:paraId="5210F06C" w14:textId="77777777" w:rsidR="00BC098F" w:rsidRDefault="00BC098F" w:rsidP="00BC098F">
      <w:pPr>
        <w:rPr>
          <w:rFonts w:ascii="Calibri" w:hAnsi="Calibri" w:cs="Calibri"/>
          <w:color w:val="0070C0"/>
          <w:sz w:val="20"/>
          <w:szCs w:val="20"/>
        </w:rPr>
      </w:pPr>
      <w:r>
        <w:rPr>
          <w:rFonts w:ascii="Calibri" w:hAnsi="Calibri" w:cs="Calibri"/>
          <w:color w:val="0070C0"/>
          <w:sz w:val="20"/>
          <w:szCs w:val="20"/>
        </w:rPr>
        <w:t>Pickering Middle School (Grades 6 – 8)</w:t>
      </w:r>
    </w:p>
    <w:p w14:paraId="6EE44D60" w14:textId="77777777" w:rsidR="00BC098F" w:rsidRDefault="00BC098F" w:rsidP="00BC098F">
      <w:pPr>
        <w:rPr>
          <w:rFonts w:ascii="Calibri" w:hAnsi="Calibri" w:cs="Calibri"/>
          <w:color w:val="0070C0"/>
          <w:sz w:val="20"/>
          <w:szCs w:val="20"/>
        </w:rPr>
      </w:pPr>
      <w:r>
        <w:rPr>
          <w:rFonts w:ascii="Calibri" w:hAnsi="Calibri" w:cs="Calibri"/>
          <w:color w:val="0070C0"/>
          <w:sz w:val="20"/>
          <w:szCs w:val="20"/>
        </w:rPr>
        <w:t>Great Schools Rating: 5/10</w:t>
      </w:r>
    </w:p>
    <w:p w14:paraId="47795C87" w14:textId="77777777" w:rsidR="009D153E" w:rsidRPr="009D153E" w:rsidRDefault="009D153E" w:rsidP="00AD5E60">
      <w:pPr>
        <w:rPr>
          <w:rFonts w:ascii="Calibri" w:hAnsi="Calibri" w:cs="Calibri"/>
          <w:color w:val="0070C0"/>
          <w:sz w:val="16"/>
          <w:szCs w:val="16"/>
        </w:rPr>
      </w:pPr>
    </w:p>
    <w:p w14:paraId="15DF7C3D" w14:textId="77777777" w:rsidR="00AD5E60" w:rsidRPr="00AE38D1" w:rsidRDefault="00B3234E" w:rsidP="00AD5E60">
      <w:pPr>
        <w:rPr>
          <w:rFonts w:ascii="Calibri" w:hAnsi="Calibri" w:cs="Calibri"/>
          <w:color w:val="0070C0"/>
          <w:sz w:val="20"/>
          <w:szCs w:val="20"/>
        </w:rPr>
      </w:pPr>
      <w:r>
        <w:rPr>
          <w:rFonts w:ascii="Calibri" w:hAnsi="Calibri" w:cs="Calibri"/>
          <w:color w:val="0070C0"/>
          <w:sz w:val="20"/>
          <w:szCs w:val="20"/>
        </w:rPr>
        <w:t>Lynn English</w:t>
      </w:r>
      <w:r w:rsidR="00CA27DF">
        <w:rPr>
          <w:rFonts w:ascii="Calibri" w:hAnsi="Calibri" w:cs="Calibri"/>
          <w:color w:val="0070C0"/>
          <w:sz w:val="20"/>
          <w:szCs w:val="20"/>
        </w:rPr>
        <w:t xml:space="preserve"> </w:t>
      </w:r>
      <w:r w:rsidR="00616FE8">
        <w:rPr>
          <w:rFonts w:ascii="Calibri" w:hAnsi="Calibri" w:cs="Calibri"/>
          <w:color w:val="0070C0"/>
          <w:sz w:val="20"/>
          <w:szCs w:val="20"/>
        </w:rPr>
        <w:t>High</w:t>
      </w:r>
      <w:r w:rsidR="00AD5E60" w:rsidRPr="00AE38D1">
        <w:rPr>
          <w:rFonts w:ascii="Calibri" w:hAnsi="Calibri" w:cs="Calibri"/>
          <w:color w:val="0070C0"/>
          <w:sz w:val="20"/>
          <w:szCs w:val="20"/>
        </w:rPr>
        <w:t xml:space="preserve"> School (</w:t>
      </w:r>
      <w:r w:rsidR="00CA27DF">
        <w:rPr>
          <w:rFonts w:ascii="Calibri" w:hAnsi="Calibri" w:cs="Calibri"/>
          <w:color w:val="0070C0"/>
          <w:sz w:val="20"/>
          <w:szCs w:val="20"/>
        </w:rPr>
        <w:t>Grades 9</w:t>
      </w:r>
      <w:r w:rsidR="009B1B09">
        <w:rPr>
          <w:rFonts w:ascii="Calibri" w:hAnsi="Calibri" w:cs="Calibri"/>
          <w:color w:val="0070C0"/>
          <w:sz w:val="20"/>
          <w:szCs w:val="20"/>
        </w:rPr>
        <w:t xml:space="preserve"> – 12</w:t>
      </w:r>
      <w:r w:rsidR="00AD5E60" w:rsidRPr="00AE38D1">
        <w:rPr>
          <w:rFonts w:ascii="Calibri" w:hAnsi="Calibri" w:cs="Calibri"/>
          <w:color w:val="0070C0"/>
          <w:sz w:val="20"/>
          <w:szCs w:val="20"/>
        </w:rPr>
        <w:t>)</w:t>
      </w:r>
    </w:p>
    <w:p w14:paraId="39ADF7CB" w14:textId="77777777" w:rsidR="00AD5E60" w:rsidRDefault="00CA27DF" w:rsidP="00AD5E60">
      <w:pPr>
        <w:rPr>
          <w:rFonts w:ascii="Calibri" w:hAnsi="Calibri" w:cs="Calibri"/>
          <w:color w:val="0070C0"/>
          <w:sz w:val="20"/>
          <w:szCs w:val="20"/>
        </w:rPr>
      </w:pPr>
      <w:r>
        <w:rPr>
          <w:rFonts w:ascii="Calibri" w:hAnsi="Calibri" w:cs="Calibri"/>
          <w:color w:val="0070C0"/>
          <w:sz w:val="20"/>
          <w:szCs w:val="20"/>
        </w:rPr>
        <w:t xml:space="preserve">Great Schools Rating: </w:t>
      </w:r>
      <w:r w:rsidR="00B3234E">
        <w:rPr>
          <w:rFonts w:ascii="Calibri" w:hAnsi="Calibri" w:cs="Calibri"/>
          <w:color w:val="0070C0"/>
          <w:sz w:val="20"/>
          <w:szCs w:val="20"/>
        </w:rPr>
        <w:t>3</w:t>
      </w:r>
      <w:r w:rsidR="00AD5E60" w:rsidRPr="00AE38D1">
        <w:rPr>
          <w:rFonts w:ascii="Calibri" w:hAnsi="Calibri" w:cs="Calibri"/>
          <w:color w:val="0070C0"/>
          <w:sz w:val="20"/>
          <w:szCs w:val="20"/>
        </w:rPr>
        <w:t>/10</w:t>
      </w:r>
    </w:p>
    <w:p w14:paraId="6207F319" w14:textId="77777777" w:rsidR="00B3234E" w:rsidRDefault="00B3234E" w:rsidP="00AD5E60">
      <w:pPr>
        <w:rPr>
          <w:rFonts w:ascii="Calibri" w:hAnsi="Calibri" w:cs="Calibri"/>
          <w:color w:val="0070C0"/>
          <w:sz w:val="20"/>
          <w:szCs w:val="20"/>
        </w:rPr>
      </w:pPr>
    </w:p>
    <w:p w14:paraId="6605E371" w14:textId="77777777" w:rsidR="00B3234E" w:rsidRDefault="00B3234E" w:rsidP="00AD5E60">
      <w:pPr>
        <w:rPr>
          <w:rFonts w:ascii="Calibri" w:hAnsi="Calibri" w:cs="Calibri"/>
          <w:color w:val="0070C0"/>
          <w:sz w:val="20"/>
          <w:szCs w:val="20"/>
        </w:rPr>
      </w:pPr>
      <w:r>
        <w:rPr>
          <w:rFonts w:ascii="Calibri" w:hAnsi="Calibri" w:cs="Calibri"/>
          <w:color w:val="0070C0"/>
          <w:sz w:val="20"/>
          <w:szCs w:val="20"/>
        </w:rPr>
        <w:t>Classical High School (Grades 9 – 12)</w:t>
      </w:r>
    </w:p>
    <w:p w14:paraId="0AF34C55" w14:textId="77777777" w:rsidR="00B3234E" w:rsidRDefault="00B3234E" w:rsidP="00AD5E60">
      <w:pPr>
        <w:rPr>
          <w:rFonts w:ascii="Calibri" w:hAnsi="Calibri" w:cs="Calibri"/>
          <w:color w:val="0070C0"/>
          <w:sz w:val="20"/>
          <w:szCs w:val="20"/>
        </w:rPr>
      </w:pPr>
      <w:r>
        <w:rPr>
          <w:rFonts w:ascii="Calibri" w:hAnsi="Calibri" w:cs="Calibri"/>
          <w:color w:val="0070C0"/>
          <w:sz w:val="20"/>
          <w:szCs w:val="20"/>
        </w:rPr>
        <w:t>Great Schools Rating: 2/10</w:t>
      </w:r>
    </w:p>
    <w:p w14:paraId="32C40A08" w14:textId="77777777" w:rsidR="00F565A0" w:rsidRDefault="00F565A0" w:rsidP="00AD5E60">
      <w:pPr>
        <w:rPr>
          <w:rFonts w:ascii="Calibri" w:hAnsi="Calibri" w:cs="Calibri"/>
          <w:color w:val="0070C0"/>
          <w:sz w:val="20"/>
          <w:szCs w:val="20"/>
        </w:rPr>
      </w:pPr>
    </w:p>
    <w:p w14:paraId="25C1B4BE" w14:textId="77777777" w:rsidR="00F565A0" w:rsidRDefault="00F565A0" w:rsidP="00AD5E60">
      <w:pPr>
        <w:rPr>
          <w:rFonts w:ascii="Calibri" w:hAnsi="Calibri" w:cs="Calibri"/>
          <w:color w:val="0070C0"/>
          <w:sz w:val="20"/>
          <w:szCs w:val="20"/>
        </w:rPr>
      </w:pPr>
      <w:r>
        <w:rPr>
          <w:rFonts w:ascii="Calibri" w:hAnsi="Calibri" w:cs="Calibri"/>
          <w:color w:val="0070C0"/>
          <w:sz w:val="20"/>
          <w:szCs w:val="20"/>
        </w:rPr>
        <w:t>Lynn Vocation</w:t>
      </w:r>
      <w:r w:rsidR="00637275">
        <w:rPr>
          <w:rFonts w:ascii="Calibri" w:hAnsi="Calibri" w:cs="Calibri"/>
          <w:color w:val="0070C0"/>
          <w:sz w:val="20"/>
          <w:szCs w:val="20"/>
        </w:rPr>
        <w:t>al Technical Institute (Grades 9</w:t>
      </w:r>
      <w:r>
        <w:rPr>
          <w:rFonts w:ascii="Calibri" w:hAnsi="Calibri" w:cs="Calibri"/>
          <w:color w:val="0070C0"/>
          <w:sz w:val="20"/>
          <w:szCs w:val="20"/>
        </w:rPr>
        <w:t xml:space="preserve"> – 12) </w:t>
      </w:r>
    </w:p>
    <w:p w14:paraId="133F9CB7" w14:textId="77777777" w:rsidR="00F565A0" w:rsidRPr="00AE38D1" w:rsidRDefault="00F565A0" w:rsidP="00AD5E60">
      <w:pPr>
        <w:rPr>
          <w:rFonts w:ascii="Calibri" w:hAnsi="Calibri" w:cs="Calibri"/>
          <w:color w:val="0070C0"/>
          <w:sz w:val="20"/>
          <w:szCs w:val="20"/>
        </w:rPr>
      </w:pPr>
      <w:r>
        <w:rPr>
          <w:rFonts w:ascii="Calibri" w:hAnsi="Calibri" w:cs="Calibri"/>
          <w:color w:val="0070C0"/>
          <w:sz w:val="20"/>
          <w:szCs w:val="20"/>
        </w:rPr>
        <w:t>Great Schools Rating: 3/10</w:t>
      </w:r>
    </w:p>
    <w:p w14:paraId="0A6BDB18" w14:textId="77777777" w:rsidR="00AD5E60" w:rsidRPr="004C03F7" w:rsidRDefault="00AD5E60" w:rsidP="00AD5E60">
      <w:pPr>
        <w:rPr>
          <w:rFonts w:ascii="Calibri" w:hAnsi="Calibri" w:cs="Calibri"/>
          <w:color w:val="0070C0"/>
          <w:sz w:val="16"/>
          <w:szCs w:val="16"/>
        </w:rPr>
      </w:pPr>
    </w:p>
    <w:p w14:paraId="66C0ED8D" w14:textId="77777777" w:rsidR="00AD5E60" w:rsidRDefault="00AD5E60" w:rsidP="00AD5E60">
      <w:pPr>
        <w:rPr>
          <w:rFonts w:ascii="Calibri" w:hAnsi="Calibri" w:cs="Calibri"/>
          <w:color w:val="0070C0"/>
          <w:sz w:val="20"/>
          <w:szCs w:val="20"/>
        </w:rPr>
      </w:pPr>
      <w:r>
        <w:rPr>
          <w:rFonts w:ascii="Calibri" w:hAnsi="Calibri" w:cs="Calibri"/>
          <w:color w:val="0070C0"/>
          <w:sz w:val="20"/>
          <w:szCs w:val="20"/>
        </w:rPr>
        <w:t>High School Graduation Rate</w:t>
      </w:r>
    </w:p>
    <w:tbl>
      <w:tblPr>
        <w:tblStyle w:val="TableGrid"/>
        <w:tblW w:w="0" w:type="auto"/>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690"/>
        <w:gridCol w:w="900"/>
      </w:tblGrid>
      <w:tr w:rsidR="00AD5E60" w14:paraId="2D6F5542" w14:textId="77777777" w:rsidTr="005B66E0">
        <w:tc>
          <w:tcPr>
            <w:tcW w:w="3690" w:type="dxa"/>
            <w:vAlign w:val="center"/>
          </w:tcPr>
          <w:p w14:paraId="12661F27" w14:textId="77777777" w:rsidR="00AD5E60" w:rsidRDefault="00BC098F" w:rsidP="005B66E0">
            <w:pPr>
              <w:rPr>
                <w:rFonts w:ascii="Calibri" w:hAnsi="Calibri" w:cs="Calibri"/>
                <w:color w:val="0070C0"/>
                <w:sz w:val="20"/>
                <w:szCs w:val="20"/>
              </w:rPr>
            </w:pPr>
            <w:r>
              <w:rPr>
                <w:rFonts w:ascii="Calibri" w:hAnsi="Calibri" w:cs="Calibri"/>
                <w:color w:val="0070C0"/>
                <w:sz w:val="20"/>
                <w:szCs w:val="20"/>
              </w:rPr>
              <w:t>Lynn English</w:t>
            </w:r>
            <w:r w:rsidR="00AD5E60">
              <w:rPr>
                <w:rFonts w:ascii="Calibri" w:hAnsi="Calibri" w:cs="Calibri"/>
                <w:color w:val="0070C0"/>
                <w:sz w:val="20"/>
                <w:szCs w:val="20"/>
              </w:rPr>
              <w:t xml:space="preserve"> High School</w:t>
            </w:r>
          </w:p>
        </w:tc>
        <w:tc>
          <w:tcPr>
            <w:tcW w:w="900" w:type="dxa"/>
            <w:vAlign w:val="center"/>
          </w:tcPr>
          <w:p w14:paraId="72C5E857" w14:textId="77777777" w:rsidR="00AD5E60" w:rsidRDefault="00BC098F" w:rsidP="005B66E0">
            <w:pPr>
              <w:jc w:val="right"/>
              <w:rPr>
                <w:rFonts w:ascii="Calibri" w:hAnsi="Calibri" w:cs="Calibri"/>
                <w:color w:val="0070C0"/>
                <w:sz w:val="20"/>
                <w:szCs w:val="20"/>
              </w:rPr>
            </w:pPr>
            <w:r>
              <w:rPr>
                <w:rFonts w:ascii="Calibri" w:hAnsi="Calibri" w:cs="Calibri"/>
                <w:color w:val="0070C0"/>
                <w:sz w:val="20"/>
                <w:szCs w:val="20"/>
              </w:rPr>
              <w:t>70.0</w:t>
            </w:r>
            <w:r w:rsidR="00AD5E60">
              <w:rPr>
                <w:rFonts w:ascii="Calibri" w:hAnsi="Calibri" w:cs="Calibri"/>
                <w:color w:val="0070C0"/>
                <w:sz w:val="20"/>
                <w:szCs w:val="20"/>
              </w:rPr>
              <w:t>%</w:t>
            </w:r>
          </w:p>
        </w:tc>
      </w:tr>
      <w:tr w:rsidR="00BC098F" w14:paraId="58DD5FDC" w14:textId="77777777" w:rsidTr="005B66E0">
        <w:tc>
          <w:tcPr>
            <w:tcW w:w="3690" w:type="dxa"/>
            <w:vAlign w:val="center"/>
          </w:tcPr>
          <w:p w14:paraId="23267E00" w14:textId="77777777" w:rsidR="00BC098F" w:rsidRDefault="00BC098F" w:rsidP="00BC098F">
            <w:pPr>
              <w:rPr>
                <w:rFonts w:ascii="Calibri" w:hAnsi="Calibri" w:cs="Calibri"/>
                <w:color w:val="0070C0"/>
                <w:sz w:val="20"/>
                <w:szCs w:val="20"/>
              </w:rPr>
            </w:pPr>
            <w:r>
              <w:rPr>
                <w:rFonts w:ascii="Calibri" w:hAnsi="Calibri" w:cs="Calibri"/>
                <w:color w:val="0070C0"/>
                <w:sz w:val="20"/>
                <w:szCs w:val="20"/>
              </w:rPr>
              <w:t>Classical High School</w:t>
            </w:r>
          </w:p>
        </w:tc>
        <w:tc>
          <w:tcPr>
            <w:tcW w:w="900" w:type="dxa"/>
            <w:vAlign w:val="center"/>
          </w:tcPr>
          <w:p w14:paraId="16BC823F" w14:textId="77777777" w:rsidR="00BC098F" w:rsidRDefault="00BC098F" w:rsidP="005B66E0">
            <w:pPr>
              <w:jc w:val="right"/>
              <w:rPr>
                <w:rFonts w:ascii="Calibri" w:hAnsi="Calibri" w:cs="Calibri"/>
                <w:color w:val="0070C0"/>
                <w:sz w:val="20"/>
                <w:szCs w:val="20"/>
              </w:rPr>
            </w:pPr>
            <w:r>
              <w:rPr>
                <w:rFonts w:ascii="Calibri" w:hAnsi="Calibri" w:cs="Calibri"/>
                <w:color w:val="0070C0"/>
                <w:sz w:val="20"/>
                <w:szCs w:val="20"/>
              </w:rPr>
              <w:t>82.5%</w:t>
            </w:r>
          </w:p>
        </w:tc>
      </w:tr>
      <w:tr w:rsidR="00F565A0" w14:paraId="68D5FF78" w14:textId="77777777" w:rsidTr="005B66E0">
        <w:tc>
          <w:tcPr>
            <w:tcW w:w="3690" w:type="dxa"/>
            <w:vAlign w:val="center"/>
          </w:tcPr>
          <w:p w14:paraId="3FB364DF" w14:textId="77777777" w:rsidR="00F565A0" w:rsidRDefault="00F565A0" w:rsidP="00BC098F">
            <w:pPr>
              <w:rPr>
                <w:rFonts w:ascii="Calibri" w:hAnsi="Calibri" w:cs="Calibri"/>
                <w:color w:val="0070C0"/>
                <w:sz w:val="20"/>
                <w:szCs w:val="20"/>
              </w:rPr>
            </w:pPr>
            <w:r>
              <w:rPr>
                <w:rFonts w:ascii="Calibri" w:hAnsi="Calibri" w:cs="Calibri"/>
                <w:color w:val="0070C0"/>
                <w:sz w:val="20"/>
                <w:szCs w:val="20"/>
              </w:rPr>
              <w:t>Lynn Vocational Technical Institute</w:t>
            </w:r>
          </w:p>
        </w:tc>
        <w:tc>
          <w:tcPr>
            <w:tcW w:w="900" w:type="dxa"/>
            <w:vAlign w:val="center"/>
          </w:tcPr>
          <w:p w14:paraId="603192B4" w14:textId="77777777" w:rsidR="00F565A0" w:rsidRDefault="00F565A0" w:rsidP="005B66E0">
            <w:pPr>
              <w:jc w:val="right"/>
              <w:rPr>
                <w:rFonts w:ascii="Calibri" w:hAnsi="Calibri" w:cs="Calibri"/>
                <w:color w:val="0070C0"/>
                <w:sz w:val="20"/>
                <w:szCs w:val="20"/>
              </w:rPr>
            </w:pPr>
            <w:r>
              <w:rPr>
                <w:rFonts w:ascii="Calibri" w:hAnsi="Calibri" w:cs="Calibri"/>
                <w:color w:val="0070C0"/>
                <w:sz w:val="20"/>
                <w:szCs w:val="20"/>
              </w:rPr>
              <w:t>89.5%</w:t>
            </w:r>
          </w:p>
        </w:tc>
      </w:tr>
      <w:tr w:rsidR="00AD5E60" w14:paraId="760CD290" w14:textId="77777777" w:rsidTr="005B66E0">
        <w:tc>
          <w:tcPr>
            <w:tcW w:w="3690" w:type="dxa"/>
            <w:vAlign w:val="center"/>
          </w:tcPr>
          <w:p w14:paraId="74B69700" w14:textId="77777777" w:rsidR="00AD5E60" w:rsidRDefault="00AD5E60" w:rsidP="005B66E0">
            <w:pPr>
              <w:rPr>
                <w:rFonts w:ascii="Calibri" w:hAnsi="Calibri" w:cs="Calibri"/>
                <w:color w:val="0070C0"/>
                <w:sz w:val="20"/>
                <w:szCs w:val="20"/>
              </w:rPr>
            </w:pPr>
            <w:r>
              <w:rPr>
                <w:rFonts w:ascii="Calibri" w:hAnsi="Calibri" w:cs="Calibri"/>
                <w:color w:val="0070C0"/>
                <w:sz w:val="20"/>
                <w:szCs w:val="20"/>
              </w:rPr>
              <w:t>Massachusetts</w:t>
            </w:r>
          </w:p>
        </w:tc>
        <w:tc>
          <w:tcPr>
            <w:tcW w:w="900" w:type="dxa"/>
            <w:vAlign w:val="center"/>
          </w:tcPr>
          <w:p w14:paraId="1BCBD73C" w14:textId="77777777" w:rsidR="00AD5E60" w:rsidRDefault="00776A84" w:rsidP="005B66E0">
            <w:pPr>
              <w:jc w:val="right"/>
              <w:rPr>
                <w:rFonts w:ascii="Calibri" w:hAnsi="Calibri" w:cs="Calibri"/>
                <w:color w:val="0070C0"/>
                <w:sz w:val="20"/>
                <w:szCs w:val="20"/>
              </w:rPr>
            </w:pPr>
            <w:r>
              <w:rPr>
                <w:rFonts w:ascii="Calibri" w:hAnsi="Calibri" w:cs="Calibri"/>
                <w:color w:val="0070C0"/>
                <w:sz w:val="20"/>
                <w:szCs w:val="20"/>
              </w:rPr>
              <w:t>88.0</w:t>
            </w:r>
            <w:r w:rsidR="00AD5E60">
              <w:rPr>
                <w:rFonts w:ascii="Calibri" w:hAnsi="Calibri" w:cs="Calibri"/>
                <w:color w:val="0070C0"/>
                <w:sz w:val="20"/>
                <w:szCs w:val="20"/>
              </w:rPr>
              <w:t>%</w:t>
            </w:r>
          </w:p>
        </w:tc>
      </w:tr>
    </w:tbl>
    <w:p w14:paraId="64F6E03C" w14:textId="77777777" w:rsidR="00AD5E60" w:rsidRPr="004C03F7" w:rsidRDefault="00AD5E60" w:rsidP="00AD5E60">
      <w:pPr>
        <w:rPr>
          <w:rFonts w:ascii="Calibri" w:hAnsi="Calibri" w:cs="Calibri"/>
          <w:color w:val="0070C0"/>
          <w:sz w:val="16"/>
          <w:szCs w:val="16"/>
        </w:rPr>
      </w:pPr>
    </w:p>
    <w:p w14:paraId="6E055CCC" w14:textId="77777777" w:rsidR="00AD5E60" w:rsidRDefault="00AD5E60" w:rsidP="00AD5E60">
      <w:pPr>
        <w:rPr>
          <w:rFonts w:ascii="Calibri" w:hAnsi="Calibri" w:cs="Calibri"/>
          <w:color w:val="0070C0"/>
          <w:sz w:val="18"/>
          <w:szCs w:val="18"/>
        </w:rPr>
      </w:pPr>
      <w:r w:rsidRPr="0006351C">
        <w:rPr>
          <w:rFonts w:ascii="Calibri" w:hAnsi="Calibri" w:cs="Calibri"/>
          <w:color w:val="0070C0"/>
          <w:sz w:val="18"/>
          <w:szCs w:val="18"/>
        </w:rPr>
        <w:t>Data Source</w:t>
      </w:r>
      <w:r>
        <w:rPr>
          <w:rFonts w:ascii="Calibri" w:hAnsi="Calibri" w:cs="Calibri"/>
          <w:color w:val="0070C0"/>
          <w:sz w:val="18"/>
          <w:szCs w:val="18"/>
        </w:rPr>
        <w:t>s</w:t>
      </w:r>
      <w:r w:rsidRPr="0006351C">
        <w:rPr>
          <w:rFonts w:ascii="Calibri" w:hAnsi="Calibri" w:cs="Calibri"/>
          <w:color w:val="0070C0"/>
          <w:sz w:val="18"/>
          <w:szCs w:val="18"/>
        </w:rPr>
        <w:t>: GreatSchools.org</w:t>
      </w:r>
      <w:r>
        <w:rPr>
          <w:rFonts w:ascii="Calibri" w:hAnsi="Calibri" w:cs="Calibri"/>
          <w:color w:val="0070C0"/>
          <w:sz w:val="18"/>
          <w:szCs w:val="18"/>
        </w:rPr>
        <w:t>; MA Dept. of Elementary &amp; Secondary Education District Profiles</w:t>
      </w:r>
    </w:p>
    <w:p w14:paraId="5EC5F9BD" w14:textId="77777777" w:rsidR="00082552" w:rsidRPr="0006351C" w:rsidRDefault="00082552" w:rsidP="00AD5E60">
      <w:pPr>
        <w:rPr>
          <w:rFonts w:ascii="Calibri" w:hAnsi="Calibri" w:cs="Calibri"/>
          <w:color w:val="0070C0"/>
          <w:sz w:val="18"/>
          <w:szCs w:val="18"/>
        </w:rPr>
      </w:pPr>
    </w:p>
    <w:tbl>
      <w:tblPr>
        <w:tblStyle w:val="TableGrid"/>
        <w:tblW w:w="0" w:type="auto"/>
        <w:tblBorders>
          <w:top w:val="single" w:sz="4" w:space="0" w:color="007E39"/>
          <w:left w:val="single" w:sz="4" w:space="0" w:color="007E39"/>
          <w:bottom w:val="single" w:sz="4" w:space="0" w:color="007E39"/>
          <w:right w:val="single" w:sz="4" w:space="0" w:color="007E39"/>
          <w:insideH w:val="single" w:sz="4" w:space="0" w:color="007E39"/>
          <w:insideV w:val="single" w:sz="4" w:space="0" w:color="007E39"/>
        </w:tblBorders>
        <w:shd w:val="clear" w:color="auto" w:fill="0070C0"/>
        <w:tblLook w:val="04A0" w:firstRow="1" w:lastRow="0" w:firstColumn="1" w:lastColumn="0" w:noHBand="0" w:noVBand="1"/>
      </w:tblPr>
      <w:tblGrid>
        <w:gridCol w:w="5030"/>
      </w:tblGrid>
      <w:tr w:rsidR="00F565A0" w14:paraId="4E076AB9" w14:textId="77777777" w:rsidTr="00FC15DA">
        <w:trPr>
          <w:trHeight w:val="2762"/>
        </w:trPr>
        <w:tc>
          <w:tcPr>
            <w:tcW w:w="5030" w:type="dxa"/>
            <w:shd w:val="clear" w:color="auto" w:fill="007E39"/>
          </w:tcPr>
          <w:p w14:paraId="6C0ABCC5" w14:textId="77777777" w:rsidR="00F565A0" w:rsidRPr="00232E95" w:rsidRDefault="00F565A0" w:rsidP="00D44118">
            <w:pPr>
              <w:pStyle w:val="Style2"/>
            </w:pPr>
            <w:r>
              <w:t>Transportation</w:t>
            </w:r>
          </w:p>
          <w:p w14:paraId="72F8CE18" w14:textId="77777777" w:rsidR="00F565A0" w:rsidRPr="00FC15DA" w:rsidRDefault="00637275" w:rsidP="00637275">
            <w:pPr>
              <w:rPr>
                <w:rFonts w:ascii="Calibri" w:hAnsi="Calibri" w:cs="Calibri"/>
                <w:color w:val="FFFFFF" w:themeColor="background1"/>
                <w:sz w:val="20"/>
                <w:szCs w:val="20"/>
              </w:rPr>
            </w:pPr>
            <w:r w:rsidRPr="00637275">
              <w:rPr>
                <w:rFonts w:ascii="Calibri" w:hAnsi="Calibri" w:cs="Calibri"/>
                <w:color w:val="FFFFFF" w:themeColor="background1"/>
                <w:sz w:val="20"/>
                <w:szCs w:val="20"/>
              </w:rPr>
              <w:t>Lynn has a stop on the Newburyport/Rockport Line of the MBTA Commuter Rail, as well as the River Works stop, which is for GE Aviation employees only.</w:t>
            </w:r>
            <w:r w:rsidR="00FC15DA">
              <w:rPr>
                <w:rFonts w:ascii="Calibri" w:hAnsi="Calibri" w:cs="Calibri"/>
                <w:color w:val="FFFFFF" w:themeColor="background1"/>
                <w:sz w:val="20"/>
                <w:szCs w:val="20"/>
              </w:rPr>
              <w:t xml:space="preserve"> Lynn</w:t>
            </w:r>
            <w:r w:rsidRPr="00637275">
              <w:rPr>
                <w:rFonts w:ascii="Calibri" w:hAnsi="Calibri" w:cs="Calibri"/>
                <w:color w:val="FFFFFF" w:themeColor="background1"/>
                <w:sz w:val="20"/>
                <w:szCs w:val="20"/>
              </w:rPr>
              <w:t xml:space="preserve"> is</w:t>
            </w:r>
            <w:r w:rsidR="00FC15DA">
              <w:rPr>
                <w:rFonts w:ascii="Calibri" w:hAnsi="Calibri" w:cs="Calibri"/>
                <w:color w:val="FFFFFF" w:themeColor="background1"/>
                <w:sz w:val="20"/>
                <w:szCs w:val="20"/>
              </w:rPr>
              <w:t xml:space="preserve"> also</w:t>
            </w:r>
            <w:r w:rsidRPr="00637275">
              <w:rPr>
                <w:rFonts w:ascii="Calibri" w:hAnsi="Calibri" w:cs="Calibri"/>
                <w:color w:val="FFFFFF" w:themeColor="background1"/>
                <w:sz w:val="20"/>
                <w:szCs w:val="20"/>
              </w:rPr>
              <w:t xml:space="preserve"> a major bus transfer point serving </w:t>
            </w:r>
            <w:r w:rsidR="00FC15DA">
              <w:rPr>
                <w:rFonts w:ascii="Calibri" w:hAnsi="Calibri" w:cs="Calibri"/>
                <w:color w:val="FFFFFF" w:themeColor="background1"/>
                <w:sz w:val="20"/>
                <w:szCs w:val="20"/>
              </w:rPr>
              <w:t>11</w:t>
            </w:r>
            <w:r w:rsidRPr="00637275">
              <w:rPr>
                <w:rFonts w:ascii="Calibri" w:hAnsi="Calibri" w:cs="Calibri"/>
                <w:color w:val="FFFFFF" w:themeColor="background1"/>
                <w:sz w:val="20"/>
                <w:szCs w:val="20"/>
              </w:rPr>
              <w:t xml:space="preserve"> MBTA bus routes in the North Shore region, including routes leading to Salem, Marblehead, Wonderland, and the Liberty Tree M</w:t>
            </w:r>
            <w:r w:rsidR="00FC15DA">
              <w:rPr>
                <w:rFonts w:ascii="Calibri" w:hAnsi="Calibri" w:cs="Calibri"/>
                <w:color w:val="FFFFFF" w:themeColor="background1"/>
                <w:sz w:val="20"/>
                <w:szCs w:val="20"/>
              </w:rPr>
              <w:t xml:space="preserve">all as well as downtown Boston. Approximately 67% of Lynn </w:t>
            </w:r>
            <w:r w:rsidRPr="00637275">
              <w:rPr>
                <w:rFonts w:ascii="Calibri" w:hAnsi="Calibri" w:cs="Calibri"/>
                <w:color w:val="FFFFFF" w:themeColor="background1"/>
                <w:sz w:val="20"/>
                <w:szCs w:val="20"/>
              </w:rPr>
              <w:t xml:space="preserve">resident workers use a private vehicle for commuting. </w:t>
            </w:r>
          </w:p>
        </w:tc>
      </w:tr>
    </w:tbl>
    <w:p w14:paraId="0D962CBA" w14:textId="77777777" w:rsidR="0045595D" w:rsidRPr="00AE38D1" w:rsidRDefault="0045595D" w:rsidP="0045595D">
      <w:pPr>
        <w:pStyle w:val="Heading2"/>
        <w:rPr>
          <w:color w:val="0070C0"/>
        </w:rPr>
      </w:pPr>
      <w:r w:rsidRPr="00AE38D1">
        <w:rPr>
          <w:color w:val="0070C0"/>
        </w:rPr>
        <w:t>Community safety</w:t>
      </w:r>
    </w:p>
    <w:p w14:paraId="553E962A" w14:textId="77777777" w:rsidR="00020906" w:rsidRDefault="0045595D" w:rsidP="00F04B93">
      <w:pPr>
        <w:rPr>
          <w:rFonts w:ascii="Calibri" w:eastAsia="Meiryo" w:hAnsi="Calibri" w:cs="Calibri"/>
          <w:color w:val="0070C0"/>
          <w:sz w:val="20"/>
          <w:szCs w:val="20"/>
          <w:lang w:eastAsia="ja-JP"/>
        </w:rPr>
      </w:pPr>
      <w:r>
        <w:rPr>
          <w:rFonts w:ascii="Calibri" w:eastAsia="Meiryo" w:hAnsi="Calibri" w:cs="Calibri"/>
          <w:color w:val="0070C0"/>
          <w:sz w:val="20"/>
          <w:szCs w:val="20"/>
          <w:lang w:eastAsia="ja-JP"/>
        </w:rPr>
        <w:t xml:space="preserve">In 2016, the </w:t>
      </w:r>
      <w:r w:rsidR="002F7544">
        <w:rPr>
          <w:rFonts w:ascii="Calibri" w:eastAsia="Meiryo" w:hAnsi="Calibri" w:cs="Calibri"/>
          <w:color w:val="0070C0"/>
          <w:sz w:val="20"/>
          <w:szCs w:val="20"/>
          <w:lang w:eastAsia="ja-JP"/>
        </w:rPr>
        <w:t>City of Lynn’</w:t>
      </w:r>
      <w:r w:rsidR="00D07944">
        <w:rPr>
          <w:rFonts w:ascii="Calibri" w:eastAsia="Meiryo" w:hAnsi="Calibri" w:cs="Calibri"/>
          <w:color w:val="0070C0"/>
          <w:sz w:val="20"/>
          <w:szCs w:val="20"/>
          <w:lang w:eastAsia="ja-JP"/>
        </w:rPr>
        <w:t xml:space="preserve">s violent crime rate was </w:t>
      </w:r>
      <w:r w:rsidR="002F7544">
        <w:rPr>
          <w:rFonts w:ascii="Calibri" w:eastAsia="Meiryo" w:hAnsi="Calibri" w:cs="Calibri"/>
          <w:color w:val="0070C0"/>
          <w:sz w:val="20"/>
          <w:szCs w:val="20"/>
          <w:lang w:eastAsia="ja-JP"/>
        </w:rPr>
        <w:t>95% higher</w:t>
      </w:r>
      <w:r w:rsidRPr="00AE38D1">
        <w:rPr>
          <w:rFonts w:ascii="Calibri" w:eastAsia="Meiryo" w:hAnsi="Calibri" w:cs="Calibri"/>
          <w:color w:val="0070C0"/>
          <w:sz w:val="20"/>
          <w:szCs w:val="20"/>
          <w:lang w:eastAsia="ja-JP"/>
        </w:rPr>
        <w:t xml:space="preserve"> than the</w:t>
      </w:r>
      <w:r w:rsidR="002F7544">
        <w:rPr>
          <w:rFonts w:ascii="Calibri" w:eastAsia="Meiryo" w:hAnsi="Calibri" w:cs="Calibri"/>
          <w:color w:val="0070C0"/>
          <w:sz w:val="20"/>
          <w:szCs w:val="20"/>
          <w:lang w:eastAsia="ja-JP"/>
        </w:rPr>
        <w:t xml:space="preserve"> national average and 105</w:t>
      </w:r>
      <w:r w:rsidRPr="00AE38D1">
        <w:rPr>
          <w:rFonts w:ascii="Calibri" w:eastAsia="Meiryo" w:hAnsi="Calibri" w:cs="Calibri"/>
          <w:color w:val="0070C0"/>
          <w:sz w:val="20"/>
          <w:szCs w:val="20"/>
          <w:lang w:eastAsia="ja-JP"/>
        </w:rPr>
        <w:t xml:space="preserve">% </w:t>
      </w:r>
      <w:r w:rsidR="002F7544">
        <w:rPr>
          <w:rFonts w:ascii="Calibri" w:eastAsia="Meiryo" w:hAnsi="Calibri" w:cs="Calibri"/>
          <w:color w:val="0070C0"/>
          <w:sz w:val="20"/>
          <w:szCs w:val="20"/>
          <w:lang w:eastAsia="ja-JP"/>
        </w:rPr>
        <w:t>higher</w:t>
      </w:r>
      <w:r w:rsidRPr="00AE38D1">
        <w:rPr>
          <w:rFonts w:ascii="Calibri" w:eastAsia="Meiryo" w:hAnsi="Calibri" w:cs="Calibri"/>
          <w:color w:val="0070C0"/>
          <w:sz w:val="20"/>
          <w:szCs w:val="20"/>
          <w:lang w:eastAsia="ja-JP"/>
        </w:rPr>
        <w:t xml:space="preserve"> than the Massachusetts average</w:t>
      </w:r>
      <w:r w:rsidR="00D07944">
        <w:rPr>
          <w:rFonts w:ascii="Calibri" w:eastAsia="Meiryo" w:hAnsi="Calibri" w:cs="Calibri"/>
          <w:color w:val="0070C0"/>
          <w:sz w:val="20"/>
          <w:szCs w:val="20"/>
          <w:lang w:eastAsia="ja-JP"/>
        </w:rPr>
        <w:t xml:space="preserve">. The property crime rate was </w:t>
      </w:r>
      <w:r w:rsidR="00FD353C">
        <w:rPr>
          <w:rFonts w:ascii="Calibri" w:eastAsia="Meiryo" w:hAnsi="Calibri" w:cs="Calibri"/>
          <w:color w:val="0070C0"/>
          <w:sz w:val="20"/>
          <w:szCs w:val="20"/>
          <w:lang w:eastAsia="ja-JP"/>
        </w:rPr>
        <w:t>15</w:t>
      </w:r>
      <w:r w:rsidRPr="00AE38D1">
        <w:rPr>
          <w:rFonts w:ascii="Calibri" w:eastAsia="Meiryo" w:hAnsi="Calibri" w:cs="Calibri"/>
          <w:color w:val="0070C0"/>
          <w:sz w:val="20"/>
          <w:szCs w:val="20"/>
          <w:lang w:eastAsia="ja-JP"/>
        </w:rPr>
        <w:t xml:space="preserve">% lower </w:t>
      </w:r>
      <w:r w:rsidR="00FD353C">
        <w:rPr>
          <w:rFonts w:ascii="Calibri" w:eastAsia="Meiryo" w:hAnsi="Calibri" w:cs="Calibri"/>
          <w:color w:val="0070C0"/>
          <w:sz w:val="20"/>
          <w:szCs w:val="20"/>
          <w:lang w:eastAsia="ja-JP"/>
        </w:rPr>
        <w:t>than the national average and 33</w:t>
      </w:r>
      <w:r w:rsidRPr="00AE38D1">
        <w:rPr>
          <w:rFonts w:ascii="Calibri" w:eastAsia="Meiryo" w:hAnsi="Calibri" w:cs="Calibri"/>
          <w:color w:val="0070C0"/>
          <w:sz w:val="20"/>
          <w:szCs w:val="20"/>
          <w:lang w:eastAsia="ja-JP"/>
        </w:rPr>
        <w:t xml:space="preserve">% </w:t>
      </w:r>
      <w:r w:rsidR="00FD353C">
        <w:rPr>
          <w:rFonts w:ascii="Calibri" w:eastAsia="Meiryo" w:hAnsi="Calibri" w:cs="Calibri"/>
          <w:color w:val="0070C0"/>
          <w:sz w:val="20"/>
          <w:szCs w:val="20"/>
          <w:lang w:eastAsia="ja-JP"/>
        </w:rPr>
        <w:t>higher</w:t>
      </w:r>
      <w:r w:rsidRPr="00AE38D1">
        <w:rPr>
          <w:rFonts w:ascii="Calibri" w:eastAsia="Meiryo" w:hAnsi="Calibri" w:cs="Calibri"/>
          <w:color w:val="0070C0"/>
          <w:sz w:val="20"/>
          <w:szCs w:val="20"/>
          <w:lang w:eastAsia="ja-JP"/>
        </w:rPr>
        <w:t xml:space="preserve"> than the Massachusetts average.</w:t>
      </w:r>
    </w:p>
    <w:p w14:paraId="5D13A4BE" w14:textId="77777777" w:rsidR="0045595D" w:rsidRPr="0045595D" w:rsidRDefault="0045595D" w:rsidP="0045595D">
      <w:pPr>
        <w:rPr>
          <w:rFonts w:ascii="Calibri" w:eastAsia="Meiryo" w:hAnsi="Calibri" w:cs="Calibri"/>
          <w:color w:val="0070C0"/>
          <w:sz w:val="16"/>
          <w:szCs w:val="16"/>
          <w:lang w:eastAsia="ja-JP"/>
        </w:rPr>
      </w:pPr>
    </w:p>
    <w:p w14:paraId="55A404E8" w14:textId="77777777" w:rsidR="0045595D" w:rsidRPr="0045595D" w:rsidRDefault="0045595D" w:rsidP="00F04B93">
      <w:pPr>
        <w:rPr>
          <w:rFonts w:ascii="Calibri" w:eastAsia="Meiryo" w:hAnsi="Calibri" w:cs="Calibri"/>
          <w:color w:val="0070C0"/>
          <w:sz w:val="18"/>
          <w:szCs w:val="18"/>
          <w:lang w:eastAsia="ja-JP"/>
        </w:rPr>
      </w:pPr>
      <w:r w:rsidRPr="00337EA4">
        <w:rPr>
          <w:rFonts w:ascii="Calibri" w:eastAsia="Meiryo" w:hAnsi="Calibri" w:cs="Calibri"/>
          <w:color w:val="0070C0"/>
          <w:sz w:val="18"/>
          <w:szCs w:val="18"/>
          <w:lang w:eastAsia="ja-JP"/>
        </w:rPr>
        <w:t>Data Source: www.cityrating.com/crime-statistics</w:t>
      </w:r>
    </w:p>
    <w:p w14:paraId="105D2A1A" w14:textId="77777777" w:rsidR="00232E95" w:rsidRPr="00232E95" w:rsidRDefault="00232E95" w:rsidP="00232E95">
      <w:pPr>
        <w:pStyle w:val="Heading2"/>
        <w:rPr>
          <w:color w:val="0070C0"/>
        </w:rPr>
      </w:pPr>
      <w:r w:rsidRPr="00232E95">
        <w:rPr>
          <w:color w:val="0070C0"/>
        </w:rPr>
        <w:t>DEMOGRAPHICS</w:t>
      </w:r>
    </w:p>
    <w:p w14:paraId="6124D78C" w14:textId="77777777" w:rsidR="005B3C31" w:rsidRPr="00C73D76" w:rsidRDefault="005B3C31" w:rsidP="005B3C31">
      <w:pPr>
        <w:rPr>
          <w:rFonts w:ascii="Calibri" w:hAnsi="Calibri" w:cs="Calibri"/>
          <w:color w:val="0070C0"/>
          <w:sz w:val="20"/>
          <w:szCs w:val="20"/>
        </w:rPr>
      </w:pPr>
      <w:r w:rsidRPr="00C73D76">
        <w:rPr>
          <w:rFonts w:ascii="Calibri" w:hAnsi="Calibri" w:cs="Calibri"/>
          <w:color w:val="0070C0"/>
          <w:sz w:val="20"/>
          <w:szCs w:val="20"/>
        </w:rPr>
        <w:t xml:space="preserve">Poverty Rate: </w:t>
      </w:r>
      <w:r w:rsidR="00594C04">
        <w:rPr>
          <w:rFonts w:ascii="Calibri" w:hAnsi="Calibri" w:cs="Calibri"/>
          <w:b/>
          <w:color w:val="0070C0"/>
          <w:sz w:val="20"/>
          <w:szCs w:val="20"/>
        </w:rPr>
        <w:t>17.3</w:t>
      </w:r>
      <w:r w:rsidRPr="00C73D76">
        <w:rPr>
          <w:rFonts w:ascii="Calibri" w:hAnsi="Calibri" w:cs="Calibri"/>
          <w:b/>
          <w:color w:val="0070C0"/>
          <w:sz w:val="20"/>
          <w:szCs w:val="20"/>
        </w:rPr>
        <w:t>%</w:t>
      </w:r>
    </w:p>
    <w:p w14:paraId="5D6E0739" w14:textId="77777777" w:rsidR="005B3C31" w:rsidRPr="00C73D76" w:rsidRDefault="005B3C31" w:rsidP="005B3C31">
      <w:pPr>
        <w:rPr>
          <w:rFonts w:ascii="Calibri" w:hAnsi="Calibri" w:cs="Calibri"/>
          <w:color w:val="0070C0"/>
          <w:sz w:val="16"/>
          <w:szCs w:val="16"/>
        </w:rPr>
      </w:pPr>
    </w:p>
    <w:p w14:paraId="61180F17" w14:textId="77777777" w:rsidR="005B3C31" w:rsidRPr="00C73D76" w:rsidRDefault="005B3C31" w:rsidP="005B3C31">
      <w:pPr>
        <w:rPr>
          <w:rFonts w:ascii="Calibri" w:hAnsi="Calibri" w:cs="Calibri"/>
          <w:color w:val="0070C0"/>
          <w:sz w:val="20"/>
          <w:szCs w:val="20"/>
        </w:rPr>
      </w:pPr>
      <w:r w:rsidRPr="00C73D76">
        <w:rPr>
          <w:rFonts w:ascii="Calibri" w:hAnsi="Calibri" w:cs="Calibri"/>
          <w:color w:val="0070C0"/>
          <w:sz w:val="20"/>
          <w:szCs w:val="20"/>
        </w:rPr>
        <w:t xml:space="preserve">Percent of population that speaks a language other than English at home: </w:t>
      </w:r>
      <w:r w:rsidR="00594C04">
        <w:rPr>
          <w:rFonts w:ascii="Calibri" w:hAnsi="Calibri" w:cs="Calibri"/>
          <w:b/>
          <w:color w:val="0070C0"/>
          <w:sz w:val="20"/>
          <w:szCs w:val="20"/>
        </w:rPr>
        <w:t>53.0</w:t>
      </w:r>
      <w:r w:rsidRPr="00670F15">
        <w:rPr>
          <w:rFonts w:ascii="Calibri" w:hAnsi="Calibri" w:cs="Calibri"/>
          <w:b/>
          <w:color w:val="0070C0"/>
          <w:sz w:val="20"/>
          <w:szCs w:val="20"/>
        </w:rPr>
        <w:t>%</w:t>
      </w:r>
    </w:p>
    <w:p w14:paraId="7307C915" w14:textId="77777777" w:rsidR="009C5DA1" w:rsidRPr="00020906" w:rsidRDefault="009C5DA1" w:rsidP="00F04B93">
      <w:pPr>
        <w:rPr>
          <w:rFonts w:ascii="Calibri" w:hAnsi="Calibri" w:cs="Calibri"/>
          <w:color w:val="0070C0"/>
          <w:sz w:val="16"/>
          <w:szCs w:val="16"/>
        </w:rPr>
      </w:pPr>
    </w:p>
    <w:tbl>
      <w:tblPr>
        <w:tblStyle w:val="TableGrid"/>
        <w:tblW w:w="4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F5327" w:themeFill="accent6"/>
        <w:tblLook w:val="04A0" w:firstRow="1" w:lastRow="0" w:firstColumn="1" w:lastColumn="0" w:noHBand="0" w:noVBand="1"/>
      </w:tblPr>
      <w:tblGrid>
        <w:gridCol w:w="3685"/>
        <w:gridCol w:w="900"/>
      </w:tblGrid>
      <w:tr w:rsidR="00B76682" w:rsidRPr="00B76682" w14:paraId="44482215" w14:textId="77777777" w:rsidTr="00B76682">
        <w:trPr>
          <w:trHeight w:val="299"/>
        </w:trPr>
        <w:tc>
          <w:tcPr>
            <w:tcW w:w="3685" w:type="dxa"/>
            <w:shd w:val="clear" w:color="auto" w:fill="DF5327" w:themeFill="accent6"/>
            <w:vAlign w:val="center"/>
          </w:tcPr>
          <w:p w14:paraId="0CBA21C5" w14:textId="77777777" w:rsidR="00B76682" w:rsidRPr="00B76682" w:rsidRDefault="005B3C31" w:rsidP="00D01310">
            <w:pPr>
              <w:rPr>
                <w:rFonts w:ascii="Calibri" w:hAnsi="Calibri" w:cs="Calibri"/>
                <w:b/>
                <w:color w:val="FFFFFF" w:themeColor="background1"/>
                <w:sz w:val="20"/>
                <w:szCs w:val="20"/>
              </w:rPr>
            </w:pPr>
            <w:r>
              <w:rPr>
                <w:rFonts w:ascii="Calibri" w:hAnsi="Calibri" w:cs="Calibri"/>
                <w:b/>
                <w:color w:val="FFFFFF" w:themeColor="background1"/>
                <w:sz w:val="20"/>
                <w:szCs w:val="20"/>
              </w:rPr>
              <w:t>Ra</w:t>
            </w:r>
            <w:r w:rsidR="00540214">
              <w:rPr>
                <w:rFonts w:ascii="Calibri" w:hAnsi="Calibri" w:cs="Calibri"/>
                <w:b/>
                <w:color w:val="FFFFFF" w:themeColor="background1"/>
                <w:sz w:val="20"/>
                <w:szCs w:val="20"/>
              </w:rPr>
              <w:t>ce</w:t>
            </w:r>
          </w:p>
        </w:tc>
        <w:tc>
          <w:tcPr>
            <w:tcW w:w="900" w:type="dxa"/>
            <w:shd w:val="clear" w:color="auto" w:fill="DF5327" w:themeFill="accent6"/>
            <w:vAlign w:val="center"/>
          </w:tcPr>
          <w:p w14:paraId="5BAE2ED9" w14:textId="77777777" w:rsidR="00B76682" w:rsidRPr="00B76682" w:rsidRDefault="00B76682" w:rsidP="00B76682">
            <w:pPr>
              <w:jc w:val="center"/>
              <w:rPr>
                <w:rFonts w:ascii="Calibri" w:hAnsi="Calibri" w:cs="Calibri"/>
                <w:b/>
                <w:color w:val="FFFFFF" w:themeColor="background1"/>
                <w:sz w:val="20"/>
                <w:szCs w:val="20"/>
              </w:rPr>
            </w:pPr>
            <w:r w:rsidRPr="00B76682">
              <w:rPr>
                <w:rFonts w:ascii="Calibri" w:hAnsi="Calibri" w:cs="Calibri"/>
                <w:b/>
                <w:color w:val="FFFFFF" w:themeColor="background1"/>
                <w:sz w:val="20"/>
                <w:szCs w:val="20"/>
              </w:rPr>
              <w:t>%</w:t>
            </w:r>
          </w:p>
        </w:tc>
      </w:tr>
      <w:tr w:rsidR="00B76682" w:rsidRPr="00B76682" w14:paraId="63DC1741" w14:textId="77777777" w:rsidTr="00B76682">
        <w:trPr>
          <w:trHeight w:val="299"/>
        </w:trPr>
        <w:tc>
          <w:tcPr>
            <w:tcW w:w="3685" w:type="dxa"/>
            <w:shd w:val="clear" w:color="auto" w:fill="DF5327" w:themeFill="accent6"/>
            <w:vAlign w:val="center"/>
          </w:tcPr>
          <w:p w14:paraId="1E506502" w14:textId="77777777" w:rsidR="00D01310" w:rsidRPr="00B76682" w:rsidRDefault="00D01310" w:rsidP="00D01310">
            <w:pPr>
              <w:rPr>
                <w:rFonts w:ascii="Calibri" w:hAnsi="Calibri" w:cs="Calibri"/>
                <w:color w:val="FFFFFF" w:themeColor="background1"/>
                <w:sz w:val="20"/>
                <w:szCs w:val="20"/>
              </w:rPr>
            </w:pPr>
            <w:r w:rsidRPr="00B76682">
              <w:rPr>
                <w:rFonts w:ascii="Calibri" w:hAnsi="Calibri" w:cs="Calibri"/>
                <w:color w:val="FFFFFF" w:themeColor="background1"/>
                <w:sz w:val="20"/>
                <w:szCs w:val="20"/>
              </w:rPr>
              <w:t>White</w:t>
            </w:r>
          </w:p>
        </w:tc>
        <w:tc>
          <w:tcPr>
            <w:tcW w:w="900" w:type="dxa"/>
            <w:shd w:val="clear" w:color="auto" w:fill="DF5327" w:themeFill="accent6"/>
            <w:vAlign w:val="center"/>
          </w:tcPr>
          <w:p w14:paraId="0D3FCE5A" w14:textId="77777777" w:rsidR="00D01310" w:rsidRPr="00B76682" w:rsidRDefault="00986CA7" w:rsidP="00D01310">
            <w:pPr>
              <w:jc w:val="right"/>
              <w:rPr>
                <w:rFonts w:ascii="Calibri" w:hAnsi="Calibri" w:cs="Calibri"/>
                <w:color w:val="FFFFFF" w:themeColor="background1"/>
                <w:sz w:val="20"/>
                <w:szCs w:val="20"/>
              </w:rPr>
            </w:pPr>
            <w:r>
              <w:rPr>
                <w:rFonts w:ascii="Calibri" w:hAnsi="Calibri" w:cs="Calibri"/>
                <w:color w:val="FFFFFF" w:themeColor="background1"/>
                <w:sz w:val="20"/>
                <w:szCs w:val="20"/>
              </w:rPr>
              <w:t>48.1</w:t>
            </w:r>
            <w:r w:rsidR="00D01310" w:rsidRPr="00B76682">
              <w:rPr>
                <w:rFonts w:ascii="Calibri" w:hAnsi="Calibri" w:cs="Calibri"/>
                <w:color w:val="FFFFFF" w:themeColor="background1"/>
                <w:sz w:val="20"/>
                <w:szCs w:val="20"/>
              </w:rPr>
              <w:t>%</w:t>
            </w:r>
          </w:p>
        </w:tc>
      </w:tr>
      <w:tr w:rsidR="00E248D5" w:rsidRPr="00B76682" w14:paraId="448728B1" w14:textId="77777777" w:rsidTr="00B76682">
        <w:trPr>
          <w:trHeight w:val="299"/>
        </w:trPr>
        <w:tc>
          <w:tcPr>
            <w:tcW w:w="3685" w:type="dxa"/>
            <w:shd w:val="clear" w:color="auto" w:fill="DF5327" w:themeFill="accent6"/>
            <w:vAlign w:val="center"/>
          </w:tcPr>
          <w:p w14:paraId="0D74FA2C" w14:textId="77777777" w:rsidR="00E248D5" w:rsidRPr="00B76682" w:rsidRDefault="00E248D5" w:rsidP="00E248D5">
            <w:pPr>
              <w:rPr>
                <w:rFonts w:ascii="Calibri" w:hAnsi="Calibri" w:cs="Calibri"/>
                <w:color w:val="FFFFFF" w:themeColor="background1"/>
                <w:sz w:val="20"/>
                <w:szCs w:val="20"/>
              </w:rPr>
            </w:pPr>
            <w:r>
              <w:rPr>
                <w:rFonts w:ascii="Calibri" w:hAnsi="Calibri" w:cs="Calibri"/>
                <w:color w:val="FFFFFF" w:themeColor="background1"/>
                <w:sz w:val="20"/>
                <w:szCs w:val="20"/>
              </w:rPr>
              <w:t>Some other race</w:t>
            </w:r>
          </w:p>
        </w:tc>
        <w:tc>
          <w:tcPr>
            <w:tcW w:w="900" w:type="dxa"/>
            <w:shd w:val="clear" w:color="auto" w:fill="DF5327" w:themeFill="accent6"/>
            <w:vAlign w:val="center"/>
          </w:tcPr>
          <w:p w14:paraId="5BAE307E" w14:textId="77777777" w:rsidR="00E248D5" w:rsidRPr="00B76682" w:rsidRDefault="00E248D5" w:rsidP="00E248D5">
            <w:pPr>
              <w:jc w:val="right"/>
              <w:rPr>
                <w:rFonts w:ascii="Calibri" w:hAnsi="Calibri" w:cs="Calibri"/>
                <w:color w:val="FFFFFF" w:themeColor="background1"/>
                <w:sz w:val="20"/>
                <w:szCs w:val="20"/>
              </w:rPr>
            </w:pPr>
            <w:r>
              <w:rPr>
                <w:rFonts w:ascii="Calibri" w:hAnsi="Calibri" w:cs="Calibri"/>
                <w:color w:val="FFFFFF" w:themeColor="background1"/>
                <w:sz w:val="20"/>
                <w:szCs w:val="20"/>
              </w:rPr>
              <w:t>24.2</w:t>
            </w:r>
            <w:r w:rsidRPr="00B76682">
              <w:rPr>
                <w:rFonts w:ascii="Calibri" w:hAnsi="Calibri" w:cs="Calibri"/>
                <w:color w:val="FFFFFF" w:themeColor="background1"/>
                <w:sz w:val="20"/>
                <w:szCs w:val="20"/>
              </w:rPr>
              <w:t>%</w:t>
            </w:r>
          </w:p>
        </w:tc>
      </w:tr>
      <w:tr w:rsidR="00E248D5" w:rsidRPr="00B76682" w14:paraId="14AA85C3" w14:textId="77777777" w:rsidTr="00B76682">
        <w:trPr>
          <w:trHeight w:val="299"/>
        </w:trPr>
        <w:tc>
          <w:tcPr>
            <w:tcW w:w="3685" w:type="dxa"/>
            <w:shd w:val="clear" w:color="auto" w:fill="DF5327" w:themeFill="accent6"/>
            <w:vAlign w:val="center"/>
          </w:tcPr>
          <w:p w14:paraId="1030DCC1" w14:textId="77777777" w:rsidR="00E248D5" w:rsidRPr="00B76682" w:rsidRDefault="00E248D5" w:rsidP="00E248D5">
            <w:pPr>
              <w:rPr>
                <w:rFonts w:ascii="Calibri" w:hAnsi="Calibri" w:cs="Calibri"/>
                <w:color w:val="FFFFFF" w:themeColor="background1"/>
                <w:sz w:val="20"/>
                <w:szCs w:val="20"/>
              </w:rPr>
            </w:pPr>
            <w:r w:rsidRPr="00B76682">
              <w:rPr>
                <w:rFonts w:ascii="Calibri" w:hAnsi="Calibri" w:cs="Calibri"/>
                <w:color w:val="FFFFFF" w:themeColor="background1"/>
                <w:sz w:val="20"/>
                <w:szCs w:val="20"/>
              </w:rPr>
              <w:t>Black/African American</w:t>
            </w:r>
          </w:p>
        </w:tc>
        <w:tc>
          <w:tcPr>
            <w:tcW w:w="900" w:type="dxa"/>
            <w:shd w:val="clear" w:color="auto" w:fill="DF5327" w:themeFill="accent6"/>
            <w:vAlign w:val="center"/>
          </w:tcPr>
          <w:p w14:paraId="3D919268" w14:textId="77777777" w:rsidR="00E248D5" w:rsidRPr="00B76682" w:rsidRDefault="00E248D5" w:rsidP="00E248D5">
            <w:pPr>
              <w:jc w:val="right"/>
              <w:rPr>
                <w:rFonts w:ascii="Calibri" w:hAnsi="Calibri" w:cs="Calibri"/>
                <w:color w:val="FFFFFF" w:themeColor="background1"/>
                <w:sz w:val="20"/>
                <w:szCs w:val="20"/>
              </w:rPr>
            </w:pPr>
            <w:r>
              <w:rPr>
                <w:rFonts w:ascii="Calibri" w:hAnsi="Calibri" w:cs="Calibri"/>
                <w:color w:val="FFFFFF" w:themeColor="background1"/>
                <w:sz w:val="20"/>
                <w:szCs w:val="20"/>
              </w:rPr>
              <w:t>13.5</w:t>
            </w:r>
            <w:r w:rsidRPr="00B76682">
              <w:rPr>
                <w:rFonts w:ascii="Calibri" w:hAnsi="Calibri" w:cs="Calibri"/>
                <w:color w:val="FFFFFF" w:themeColor="background1"/>
                <w:sz w:val="20"/>
                <w:szCs w:val="20"/>
              </w:rPr>
              <w:t>%</w:t>
            </w:r>
          </w:p>
        </w:tc>
      </w:tr>
      <w:tr w:rsidR="00B76682" w:rsidRPr="00B76682" w14:paraId="34DD94A1" w14:textId="77777777" w:rsidTr="00B76682">
        <w:trPr>
          <w:trHeight w:val="299"/>
        </w:trPr>
        <w:tc>
          <w:tcPr>
            <w:tcW w:w="3685" w:type="dxa"/>
            <w:shd w:val="clear" w:color="auto" w:fill="DF5327" w:themeFill="accent6"/>
            <w:vAlign w:val="center"/>
          </w:tcPr>
          <w:p w14:paraId="6CDA457B" w14:textId="77777777" w:rsidR="00685194" w:rsidRPr="00B76682" w:rsidRDefault="00685194" w:rsidP="00685194">
            <w:pPr>
              <w:rPr>
                <w:rFonts w:ascii="Calibri" w:hAnsi="Calibri" w:cs="Calibri"/>
                <w:color w:val="FFFFFF" w:themeColor="background1"/>
                <w:sz w:val="20"/>
                <w:szCs w:val="20"/>
              </w:rPr>
            </w:pPr>
            <w:r w:rsidRPr="00B76682">
              <w:rPr>
                <w:rFonts w:ascii="Calibri" w:hAnsi="Calibri" w:cs="Calibri"/>
                <w:color w:val="FFFFFF" w:themeColor="background1"/>
                <w:sz w:val="20"/>
                <w:szCs w:val="20"/>
              </w:rPr>
              <w:t>Asian</w:t>
            </w:r>
          </w:p>
        </w:tc>
        <w:tc>
          <w:tcPr>
            <w:tcW w:w="900" w:type="dxa"/>
            <w:shd w:val="clear" w:color="auto" w:fill="DF5327" w:themeFill="accent6"/>
            <w:vAlign w:val="center"/>
          </w:tcPr>
          <w:p w14:paraId="0CA87001" w14:textId="77777777" w:rsidR="00685194" w:rsidRPr="00B76682" w:rsidRDefault="00E248D5" w:rsidP="00685194">
            <w:pPr>
              <w:jc w:val="right"/>
              <w:rPr>
                <w:rFonts w:ascii="Calibri" w:hAnsi="Calibri" w:cs="Calibri"/>
                <w:color w:val="FFFFFF" w:themeColor="background1"/>
                <w:sz w:val="20"/>
                <w:szCs w:val="20"/>
              </w:rPr>
            </w:pPr>
            <w:r>
              <w:rPr>
                <w:rFonts w:ascii="Calibri" w:hAnsi="Calibri" w:cs="Calibri"/>
                <w:color w:val="FFFFFF" w:themeColor="background1"/>
                <w:sz w:val="20"/>
                <w:szCs w:val="20"/>
              </w:rPr>
              <w:t>7</w:t>
            </w:r>
            <w:r w:rsidR="005B3C31">
              <w:rPr>
                <w:rFonts w:ascii="Calibri" w:hAnsi="Calibri" w:cs="Calibri"/>
                <w:color w:val="FFFFFF" w:themeColor="background1"/>
                <w:sz w:val="20"/>
                <w:szCs w:val="20"/>
              </w:rPr>
              <w:t>.5</w:t>
            </w:r>
            <w:r w:rsidR="00685194" w:rsidRPr="00B76682">
              <w:rPr>
                <w:rFonts w:ascii="Calibri" w:hAnsi="Calibri" w:cs="Calibri"/>
                <w:color w:val="FFFFFF" w:themeColor="background1"/>
                <w:sz w:val="20"/>
                <w:szCs w:val="20"/>
              </w:rPr>
              <w:t>%</w:t>
            </w:r>
          </w:p>
        </w:tc>
      </w:tr>
      <w:tr w:rsidR="005B3C31" w:rsidRPr="00B76682" w14:paraId="7D5301FF" w14:textId="77777777" w:rsidTr="00B76682">
        <w:trPr>
          <w:trHeight w:val="299"/>
        </w:trPr>
        <w:tc>
          <w:tcPr>
            <w:tcW w:w="3685" w:type="dxa"/>
            <w:shd w:val="clear" w:color="auto" w:fill="DF5327" w:themeFill="accent6"/>
            <w:vAlign w:val="center"/>
          </w:tcPr>
          <w:p w14:paraId="339BBC28" w14:textId="77777777" w:rsidR="005B3C31" w:rsidRPr="00B76682" w:rsidRDefault="005B3C31" w:rsidP="005B3C31">
            <w:pPr>
              <w:rPr>
                <w:rFonts w:ascii="Calibri" w:hAnsi="Calibri" w:cs="Calibri"/>
                <w:color w:val="FFFFFF" w:themeColor="background1"/>
                <w:sz w:val="20"/>
                <w:szCs w:val="20"/>
              </w:rPr>
            </w:pPr>
            <w:r>
              <w:rPr>
                <w:rFonts w:ascii="Calibri" w:hAnsi="Calibri" w:cs="Calibri"/>
                <w:color w:val="FFFFFF" w:themeColor="background1"/>
                <w:sz w:val="20"/>
                <w:szCs w:val="20"/>
              </w:rPr>
              <w:t>Two or more races</w:t>
            </w:r>
          </w:p>
        </w:tc>
        <w:tc>
          <w:tcPr>
            <w:tcW w:w="900" w:type="dxa"/>
            <w:shd w:val="clear" w:color="auto" w:fill="DF5327" w:themeFill="accent6"/>
            <w:vAlign w:val="center"/>
          </w:tcPr>
          <w:p w14:paraId="788E11EF" w14:textId="77777777" w:rsidR="005B3C31" w:rsidRPr="00B76682" w:rsidRDefault="00E248D5" w:rsidP="005B3C31">
            <w:pPr>
              <w:jc w:val="right"/>
              <w:rPr>
                <w:rFonts w:ascii="Calibri" w:hAnsi="Calibri" w:cs="Calibri"/>
                <w:color w:val="FFFFFF" w:themeColor="background1"/>
                <w:sz w:val="20"/>
                <w:szCs w:val="20"/>
              </w:rPr>
            </w:pPr>
            <w:r>
              <w:rPr>
                <w:rFonts w:ascii="Calibri" w:hAnsi="Calibri" w:cs="Calibri"/>
                <w:color w:val="FFFFFF" w:themeColor="background1"/>
                <w:sz w:val="20"/>
                <w:szCs w:val="20"/>
              </w:rPr>
              <w:t>6.3</w:t>
            </w:r>
            <w:r w:rsidR="005B3C31" w:rsidRPr="00B76682">
              <w:rPr>
                <w:rFonts w:ascii="Calibri" w:hAnsi="Calibri" w:cs="Calibri"/>
                <w:color w:val="FFFFFF" w:themeColor="background1"/>
                <w:sz w:val="20"/>
                <w:szCs w:val="20"/>
              </w:rPr>
              <w:t>%</w:t>
            </w:r>
          </w:p>
        </w:tc>
      </w:tr>
      <w:tr w:rsidR="00D534B9" w:rsidRPr="00B76682" w14:paraId="01D6246F" w14:textId="77777777" w:rsidTr="00B76682">
        <w:trPr>
          <w:trHeight w:val="299"/>
        </w:trPr>
        <w:tc>
          <w:tcPr>
            <w:tcW w:w="3685" w:type="dxa"/>
            <w:shd w:val="clear" w:color="auto" w:fill="DF5327" w:themeFill="accent6"/>
            <w:vAlign w:val="center"/>
          </w:tcPr>
          <w:p w14:paraId="74807D5C" w14:textId="77777777" w:rsidR="00D534B9" w:rsidRPr="00B76682" w:rsidRDefault="00D534B9" w:rsidP="00D534B9">
            <w:pPr>
              <w:rPr>
                <w:rFonts w:ascii="Calibri" w:hAnsi="Calibri" w:cs="Calibri"/>
                <w:color w:val="FFFFFF" w:themeColor="background1"/>
                <w:sz w:val="20"/>
                <w:szCs w:val="20"/>
              </w:rPr>
            </w:pPr>
            <w:r w:rsidRPr="00B76682">
              <w:rPr>
                <w:rFonts w:ascii="Calibri" w:hAnsi="Calibri" w:cs="Calibri"/>
                <w:color w:val="FFFFFF" w:themeColor="background1"/>
                <w:sz w:val="20"/>
                <w:szCs w:val="20"/>
              </w:rPr>
              <w:t>American Indian and Alaska Native</w:t>
            </w:r>
          </w:p>
        </w:tc>
        <w:tc>
          <w:tcPr>
            <w:tcW w:w="900" w:type="dxa"/>
            <w:shd w:val="clear" w:color="auto" w:fill="DF5327" w:themeFill="accent6"/>
            <w:vAlign w:val="center"/>
          </w:tcPr>
          <w:p w14:paraId="005617A7" w14:textId="77777777" w:rsidR="00D534B9" w:rsidRPr="00B76682" w:rsidRDefault="00E248D5" w:rsidP="00D534B9">
            <w:pPr>
              <w:jc w:val="right"/>
              <w:rPr>
                <w:rFonts w:ascii="Calibri" w:hAnsi="Calibri" w:cs="Calibri"/>
                <w:color w:val="FFFFFF" w:themeColor="background1"/>
                <w:sz w:val="20"/>
                <w:szCs w:val="20"/>
              </w:rPr>
            </w:pPr>
            <w:r>
              <w:rPr>
                <w:rFonts w:ascii="Calibri" w:hAnsi="Calibri" w:cs="Calibri"/>
                <w:color w:val="FFFFFF" w:themeColor="background1"/>
                <w:sz w:val="20"/>
                <w:szCs w:val="20"/>
              </w:rPr>
              <w:t>0.4</w:t>
            </w:r>
            <w:r w:rsidR="00D534B9" w:rsidRPr="00B76682">
              <w:rPr>
                <w:rFonts w:ascii="Calibri" w:hAnsi="Calibri" w:cs="Calibri"/>
                <w:color w:val="FFFFFF" w:themeColor="background1"/>
                <w:sz w:val="20"/>
                <w:szCs w:val="20"/>
              </w:rPr>
              <w:t>%</w:t>
            </w:r>
          </w:p>
        </w:tc>
      </w:tr>
      <w:tr w:rsidR="007E3489" w:rsidRPr="00B76682" w14:paraId="6C56EAE0" w14:textId="77777777" w:rsidTr="00B76682">
        <w:trPr>
          <w:trHeight w:val="299"/>
        </w:trPr>
        <w:tc>
          <w:tcPr>
            <w:tcW w:w="3685" w:type="dxa"/>
            <w:shd w:val="clear" w:color="auto" w:fill="DF5327" w:themeFill="accent6"/>
            <w:vAlign w:val="center"/>
          </w:tcPr>
          <w:p w14:paraId="0F4063BC" w14:textId="77777777" w:rsidR="007E3489" w:rsidRPr="00B76682" w:rsidRDefault="007E3489" w:rsidP="007E3489">
            <w:pPr>
              <w:rPr>
                <w:rFonts w:ascii="Calibri" w:hAnsi="Calibri" w:cs="Calibri"/>
                <w:color w:val="FFFFFF" w:themeColor="background1"/>
                <w:sz w:val="20"/>
                <w:szCs w:val="20"/>
              </w:rPr>
            </w:pPr>
            <w:r w:rsidRPr="00B76682">
              <w:rPr>
                <w:rFonts w:ascii="Calibri" w:hAnsi="Calibri" w:cs="Calibri"/>
                <w:color w:val="FFFFFF" w:themeColor="background1"/>
                <w:sz w:val="20"/>
                <w:szCs w:val="20"/>
              </w:rPr>
              <w:t>Native Hawaiian and Other Pacific Islander</w:t>
            </w:r>
          </w:p>
        </w:tc>
        <w:tc>
          <w:tcPr>
            <w:tcW w:w="900" w:type="dxa"/>
            <w:shd w:val="clear" w:color="auto" w:fill="DF5327" w:themeFill="accent6"/>
            <w:vAlign w:val="center"/>
          </w:tcPr>
          <w:p w14:paraId="343EE7FF" w14:textId="77777777" w:rsidR="007E3489" w:rsidRPr="00B76682" w:rsidRDefault="005B3C31" w:rsidP="007E3489">
            <w:pPr>
              <w:jc w:val="right"/>
              <w:rPr>
                <w:rFonts w:ascii="Calibri" w:hAnsi="Calibri" w:cs="Calibri"/>
                <w:color w:val="FFFFFF" w:themeColor="background1"/>
                <w:sz w:val="20"/>
                <w:szCs w:val="20"/>
              </w:rPr>
            </w:pPr>
            <w:r>
              <w:rPr>
                <w:rFonts w:ascii="Calibri" w:hAnsi="Calibri" w:cs="Calibri"/>
                <w:color w:val="FFFFFF" w:themeColor="background1"/>
                <w:sz w:val="20"/>
                <w:szCs w:val="20"/>
              </w:rPr>
              <w:t>0.0</w:t>
            </w:r>
            <w:r w:rsidR="007E3489" w:rsidRPr="00B76682">
              <w:rPr>
                <w:rFonts w:ascii="Calibri" w:hAnsi="Calibri" w:cs="Calibri"/>
                <w:color w:val="FFFFFF" w:themeColor="background1"/>
                <w:sz w:val="20"/>
                <w:szCs w:val="20"/>
              </w:rPr>
              <w:t>%</w:t>
            </w:r>
          </w:p>
        </w:tc>
      </w:tr>
    </w:tbl>
    <w:p w14:paraId="5D7D95A3" w14:textId="77777777" w:rsidR="00B76682" w:rsidRPr="0006351C" w:rsidRDefault="00B76682" w:rsidP="00D01310">
      <w:pPr>
        <w:rPr>
          <w:rFonts w:ascii="Calibri" w:hAnsi="Calibri" w:cs="Calibri"/>
          <w:color w:val="0070C0"/>
          <w:sz w:val="20"/>
          <w:szCs w:val="20"/>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BE60" w:themeFill="accent3" w:themeFillTint="99"/>
        <w:tblLook w:val="04A0" w:firstRow="1" w:lastRow="0" w:firstColumn="1" w:lastColumn="0" w:noHBand="0" w:noVBand="1"/>
      </w:tblPr>
      <w:tblGrid>
        <w:gridCol w:w="3685"/>
        <w:gridCol w:w="900"/>
      </w:tblGrid>
      <w:tr w:rsidR="00B76682" w:rsidRPr="00B76682" w14:paraId="1804F9E8" w14:textId="77777777" w:rsidTr="00B76682">
        <w:trPr>
          <w:trHeight w:val="320"/>
        </w:trPr>
        <w:tc>
          <w:tcPr>
            <w:tcW w:w="3685" w:type="dxa"/>
            <w:shd w:val="clear" w:color="auto" w:fill="FFBE60" w:themeFill="accent3" w:themeFillTint="99"/>
            <w:vAlign w:val="center"/>
          </w:tcPr>
          <w:p w14:paraId="35E272FF" w14:textId="77777777" w:rsidR="00B76682" w:rsidRPr="00B76682" w:rsidRDefault="00B76682" w:rsidP="00B76682">
            <w:pPr>
              <w:rPr>
                <w:rFonts w:ascii="Calibri" w:hAnsi="Calibri" w:cs="Calibri"/>
                <w:b/>
                <w:sz w:val="20"/>
                <w:szCs w:val="20"/>
              </w:rPr>
            </w:pPr>
            <w:r w:rsidRPr="00B76682">
              <w:rPr>
                <w:rFonts w:ascii="Calibri" w:hAnsi="Calibri" w:cs="Calibri"/>
                <w:b/>
                <w:sz w:val="20"/>
                <w:szCs w:val="20"/>
              </w:rPr>
              <w:t>Age Group</w:t>
            </w:r>
          </w:p>
        </w:tc>
        <w:tc>
          <w:tcPr>
            <w:tcW w:w="900" w:type="dxa"/>
            <w:shd w:val="clear" w:color="auto" w:fill="FFBE60" w:themeFill="accent3" w:themeFillTint="99"/>
            <w:vAlign w:val="center"/>
          </w:tcPr>
          <w:p w14:paraId="4B625FE0" w14:textId="77777777" w:rsidR="00B76682" w:rsidRPr="00B76682" w:rsidRDefault="00B76682" w:rsidP="00B76682">
            <w:pPr>
              <w:jc w:val="center"/>
              <w:rPr>
                <w:rFonts w:ascii="Calibri" w:hAnsi="Calibri" w:cs="Calibri"/>
                <w:b/>
                <w:sz w:val="20"/>
                <w:szCs w:val="20"/>
              </w:rPr>
            </w:pPr>
            <w:r w:rsidRPr="00B76682">
              <w:rPr>
                <w:rFonts w:ascii="Calibri" w:hAnsi="Calibri" w:cs="Calibri"/>
                <w:b/>
                <w:sz w:val="20"/>
                <w:szCs w:val="20"/>
              </w:rPr>
              <w:t>%</w:t>
            </w:r>
          </w:p>
        </w:tc>
      </w:tr>
      <w:tr w:rsidR="00B76682" w:rsidRPr="00B76682" w14:paraId="1636BA4F" w14:textId="77777777" w:rsidTr="00B76682">
        <w:trPr>
          <w:trHeight w:val="320"/>
        </w:trPr>
        <w:tc>
          <w:tcPr>
            <w:tcW w:w="3685" w:type="dxa"/>
            <w:shd w:val="clear" w:color="auto" w:fill="FFBE60" w:themeFill="accent3" w:themeFillTint="99"/>
            <w:vAlign w:val="center"/>
          </w:tcPr>
          <w:p w14:paraId="11F3F17B" w14:textId="77777777" w:rsidR="00D01310" w:rsidRPr="00B76682" w:rsidRDefault="00D01310" w:rsidP="00B76682">
            <w:pPr>
              <w:rPr>
                <w:rFonts w:ascii="Calibri" w:hAnsi="Calibri" w:cs="Calibri"/>
                <w:sz w:val="20"/>
                <w:szCs w:val="20"/>
              </w:rPr>
            </w:pPr>
            <w:r w:rsidRPr="00B76682">
              <w:rPr>
                <w:rFonts w:ascii="Calibri" w:hAnsi="Calibri" w:cs="Calibri"/>
                <w:sz w:val="20"/>
                <w:szCs w:val="20"/>
              </w:rPr>
              <w:t>Under 5</w:t>
            </w:r>
          </w:p>
        </w:tc>
        <w:tc>
          <w:tcPr>
            <w:tcW w:w="900" w:type="dxa"/>
            <w:shd w:val="clear" w:color="auto" w:fill="FFBE60" w:themeFill="accent3" w:themeFillTint="99"/>
            <w:vAlign w:val="center"/>
          </w:tcPr>
          <w:p w14:paraId="5683B800" w14:textId="77777777" w:rsidR="00D01310" w:rsidRPr="00B76682" w:rsidRDefault="00BC70C2" w:rsidP="00D01310">
            <w:pPr>
              <w:jc w:val="right"/>
              <w:rPr>
                <w:rFonts w:ascii="Calibri" w:hAnsi="Calibri" w:cs="Calibri"/>
                <w:sz w:val="20"/>
                <w:szCs w:val="20"/>
              </w:rPr>
            </w:pPr>
            <w:r>
              <w:rPr>
                <w:rFonts w:ascii="Calibri" w:hAnsi="Calibri" w:cs="Calibri"/>
                <w:sz w:val="20"/>
                <w:szCs w:val="20"/>
              </w:rPr>
              <w:t>7</w:t>
            </w:r>
            <w:r w:rsidR="002F52FC">
              <w:rPr>
                <w:rFonts w:ascii="Calibri" w:hAnsi="Calibri" w:cs="Calibri"/>
                <w:sz w:val="20"/>
                <w:szCs w:val="20"/>
              </w:rPr>
              <w:t>.5</w:t>
            </w:r>
            <w:r w:rsidR="00D01310" w:rsidRPr="00B76682">
              <w:rPr>
                <w:rFonts w:ascii="Calibri" w:hAnsi="Calibri" w:cs="Calibri"/>
                <w:sz w:val="20"/>
                <w:szCs w:val="20"/>
              </w:rPr>
              <w:t>%</w:t>
            </w:r>
          </w:p>
        </w:tc>
      </w:tr>
      <w:tr w:rsidR="00B76682" w:rsidRPr="00B76682" w14:paraId="1D1313B7" w14:textId="77777777" w:rsidTr="00B76682">
        <w:trPr>
          <w:trHeight w:val="320"/>
        </w:trPr>
        <w:tc>
          <w:tcPr>
            <w:tcW w:w="3685" w:type="dxa"/>
            <w:shd w:val="clear" w:color="auto" w:fill="FFBE60" w:themeFill="accent3" w:themeFillTint="99"/>
            <w:vAlign w:val="center"/>
          </w:tcPr>
          <w:p w14:paraId="4C96282A" w14:textId="77777777" w:rsidR="00D01310" w:rsidRPr="00B76682" w:rsidRDefault="00D01310" w:rsidP="00B76682">
            <w:pPr>
              <w:rPr>
                <w:rFonts w:ascii="Calibri" w:hAnsi="Calibri" w:cs="Calibri"/>
                <w:sz w:val="20"/>
                <w:szCs w:val="20"/>
              </w:rPr>
            </w:pPr>
            <w:r w:rsidRPr="00B76682">
              <w:rPr>
                <w:rFonts w:ascii="Calibri" w:hAnsi="Calibri" w:cs="Calibri"/>
                <w:sz w:val="20"/>
                <w:szCs w:val="20"/>
              </w:rPr>
              <w:t>Age 5-17</w:t>
            </w:r>
          </w:p>
        </w:tc>
        <w:tc>
          <w:tcPr>
            <w:tcW w:w="900" w:type="dxa"/>
            <w:shd w:val="clear" w:color="auto" w:fill="FFBE60" w:themeFill="accent3" w:themeFillTint="99"/>
            <w:vAlign w:val="center"/>
          </w:tcPr>
          <w:p w14:paraId="378FA754" w14:textId="77777777" w:rsidR="00D01310" w:rsidRPr="00B76682" w:rsidRDefault="00E46501" w:rsidP="00D01310">
            <w:pPr>
              <w:jc w:val="right"/>
              <w:rPr>
                <w:rFonts w:ascii="Calibri" w:hAnsi="Calibri" w:cs="Calibri"/>
                <w:sz w:val="20"/>
                <w:szCs w:val="20"/>
              </w:rPr>
            </w:pPr>
            <w:r>
              <w:rPr>
                <w:rFonts w:ascii="Calibri" w:hAnsi="Calibri" w:cs="Calibri"/>
                <w:sz w:val="20"/>
                <w:szCs w:val="20"/>
              </w:rPr>
              <w:t>16.6</w:t>
            </w:r>
            <w:r w:rsidR="00D01310" w:rsidRPr="00B76682">
              <w:rPr>
                <w:rFonts w:ascii="Calibri" w:hAnsi="Calibri" w:cs="Calibri"/>
                <w:sz w:val="20"/>
                <w:szCs w:val="20"/>
              </w:rPr>
              <w:t>%</w:t>
            </w:r>
          </w:p>
        </w:tc>
      </w:tr>
      <w:tr w:rsidR="00B76682" w:rsidRPr="00B76682" w14:paraId="5484E7C5" w14:textId="77777777" w:rsidTr="00B76682">
        <w:trPr>
          <w:trHeight w:val="320"/>
        </w:trPr>
        <w:tc>
          <w:tcPr>
            <w:tcW w:w="3685" w:type="dxa"/>
            <w:shd w:val="clear" w:color="auto" w:fill="FFBE60" w:themeFill="accent3" w:themeFillTint="99"/>
            <w:vAlign w:val="center"/>
          </w:tcPr>
          <w:p w14:paraId="7FE810EB" w14:textId="77777777" w:rsidR="00D01310" w:rsidRPr="00B76682" w:rsidRDefault="00D01310" w:rsidP="00B76682">
            <w:pPr>
              <w:rPr>
                <w:rFonts w:ascii="Calibri" w:hAnsi="Calibri" w:cs="Calibri"/>
                <w:sz w:val="20"/>
                <w:szCs w:val="20"/>
              </w:rPr>
            </w:pPr>
            <w:r w:rsidRPr="00B76682">
              <w:rPr>
                <w:rFonts w:ascii="Calibri" w:hAnsi="Calibri" w:cs="Calibri"/>
                <w:sz w:val="20"/>
                <w:szCs w:val="20"/>
              </w:rPr>
              <w:t>Age 18-64</w:t>
            </w:r>
          </w:p>
        </w:tc>
        <w:tc>
          <w:tcPr>
            <w:tcW w:w="900" w:type="dxa"/>
            <w:shd w:val="clear" w:color="auto" w:fill="FFBE60" w:themeFill="accent3" w:themeFillTint="99"/>
            <w:vAlign w:val="center"/>
          </w:tcPr>
          <w:p w14:paraId="04DE057B" w14:textId="77777777" w:rsidR="00D01310" w:rsidRPr="00B76682" w:rsidRDefault="0028020F" w:rsidP="0028020F">
            <w:pPr>
              <w:jc w:val="right"/>
              <w:rPr>
                <w:rFonts w:ascii="Calibri" w:hAnsi="Calibri" w:cs="Calibri"/>
                <w:sz w:val="20"/>
                <w:szCs w:val="20"/>
              </w:rPr>
            </w:pPr>
            <w:r>
              <w:rPr>
                <w:rFonts w:ascii="Calibri" w:hAnsi="Calibri" w:cs="Calibri"/>
                <w:sz w:val="20"/>
                <w:szCs w:val="20"/>
              </w:rPr>
              <w:t>64.2</w:t>
            </w:r>
            <w:r w:rsidR="00D01310" w:rsidRPr="00B76682">
              <w:rPr>
                <w:rFonts w:ascii="Calibri" w:hAnsi="Calibri" w:cs="Calibri"/>
                <w:sz w:val="20"/>
                <w:szCs w:val="20"/>
              </w:rPr>
              <w:t>%</w:t>
            </w:r>
          </w:p>
        </w:tc>
      </w:tr>
      <w:tr w:rsidR="00B76682" w:rsidRPr="00B76682" w14:paraId="3C396495" w14:textId="77777777" w:rsidTr="00B76682">
        <w:trPr>
          <w:trHeight w:val="320"/>
        </w:trPr>
        <w:tc>
          <w:tcPr>
            <w:tcW w:w="3685" w:type="dxa"/>
            <w:shd w:val="clear" w:color="auto" w:fill="FFBE60" w:themeFill="accent3" w:themeFillTint="99"/>
            <w:vAlign w:val="center"/>
          </w:tcPr>
          <w:p w14:paraId="09BC513A" w14:textId="77777777" w:rsidR="00D01310" w:rsidRPr="00B76682" w:rsidRDefault="00D01310" w:rsidP="00B76682">
            <w:pPr>
              <w:rPr>
                <w:rFonts w:ascii="Calibri" w:hAnsi="Calibri" w:cs="Calibri"/>
                <w:sz w:val="20"/>
                <w:szCs w:val="20"/>
              </w:rPr>
            </w:pPr>
            <w:r w:rsidRPr="00B76682">
              <w:rPr>
                <w:rFonts w:ascii="Calibri" w:hAnsi="Calibri" w:cs="Calibri"/>
                <w:sz w:val="20"/>
                <w:szCs w:val="20"/>
              </w:rPr>
              <w:t>Age 65 and older</w:t>
            </w:r>
          </w:p>
        </w:tc>
        <w:tc>
          <w:tcPr>
            <w:tcW w:w="900" w:type="dxa"/>
            <w:shd w:val="clear" w:color="auto" w:fill="FFBE60" w:themeFill="accent3" w:themeFillTint="99"/>
            <w:vAlign w:val="center"/>
          </w:tcPr>
          <w:p w14:paraId="1884DDB0" w14:textId="77777777" w:rsidR="00D01310" w:rsidRPr="00B76682" w:rsidRDefault="00BC70C2" w:rsidP="00D01310">
            <w:pPr>
              <w:jc w:val="right"/>
              <w:rPr>
                <w:rFonts w:ascii="Calibri" w:hAnsi="Calibri" w:cs="Calibri"/>
                <w:sz w:val="20"/>
                <w:szCs w:val="20"/>
              </w:rPr>
            </w:pPr>
            <w:r>
              <w:rPr>
                <w:rFonts w:ascii="Calibri" w:hAnsi="Calibri" w:cs="Calibri"/>
                <w:sz w:val="20"/>
                <w:szCs w:val="20"/>
              </w:rPr>
              <w:t>1</w:t>
            </w:r>
            <w:r w:rsidR="002F52FC">
              <w:rPr>
                <w:rFonts w:ascii="Calibri" w:hAnsi="Calibri" w:cs="Calibri"/>
                <w:sz w:val="20"/>
                <w:szCs w:val="20"/>
              </w:rPr>
              <w:t>1.7</w:t>
            </w:r>
            <w:r w:rsidR="00D01310" w:rsidRPr="00B76682">
              <w:rPr>
                <w:rFonts w:ascii="Calibri" w:hAnsi="Calibri" w:cs="Calibri"/>
                <w:sz w:val="20"/>
                <w:szCs w:val="20"/>
              </w:rPr>
              <w:t>%</w:t>
            </w:r>
          </w:p>
        </w:tc>
      </w:tr>
    </w:tbl>
    <w:p w14:paraId="00D47216" w14:textId="77777777" w:rsidR="00342274" w:rsidRPr="00B76682" w:rsidRDefault="00342274" w:rsidP="00F04B93">
      <w:pPr>
        <w:rPr>
          <w:rFonts w:ascii="Calibri" w:hAnsi="Calibri" w:cs="Calibri"/>
          <w:color w:val="0070C0"/>
          <w:sz w:val="16"/>
          <w:szCs w:val="16"/>
        </w:rPr>
      </w:pPr>
    </w:p>
    <w:p w14:paraId="7129742E" w14:textId="77777777" w:rsidR="00CF4108" w:rsidRDefault="0006351C">
      <w:pPr>
        <w:rPr>
          <w:rFonts w:ascii="Calibri" w:hAnsi="Calibri" w:cs="Calibri"/>
          <w:color w:val="0070C0"/>
          <w:sz w:val="18"/>
          <w:szCs w:val="18"/>
        </w:rPr>
      </w:pPr>
      <w:r w:rsidRPr="0006351C">
        <w:rPr>
          <w:rFonts w:ascii="Calibri" w:hAnsi="Calibri" w:cs="Calibri"/>
          <w:color w:val="0070C0"/>
          <w:sz w:val="18"/>
          <w:szCs w:val="18"/>
        </w:rPr>
        <w:t xml:space="preserve">Data Source: American </w:t>
      </w:r>
      <w:proofErr w:type="spellStart"/>
      <w:r w:rsidRPr="0006351C">
        <w:rPr>
          <w:rFonts w:ascii="Calibri" w:hAnsi="Calibri" w:cs="Calibri"/>
          <w:color w:val="0070C0"/>
          <w:sz w:val="18"/>
          <w:szCs w:val="18"/>
        </w:rPr>
        <w:t>FactFinder</w:t>
      </w:r>
      <w:proofErr w:type="spellEnd"/>
      <w:r w:rsidRPr="0006351C">
        <w:rPr>
          <w:rFonts w:ascii="Calibri" w:hAnsi="Calibri" w:cs="Calibri"/>
          <w:color w:val="0070C0"/>
          <w:sz w:val="18"/>
          <w:szCs w:val="18"/>
        </w:rPr>
        <w:t>, U.S. Census Bureau</w:t>
      </w:r>
    </w:p>
    <w:p w14:paraId="5E5AFFC6" w14:textId="77777777" w:rsidR="00CF4108" w:rsidRPr="00B511BD" w:rsidRDefault="00CF4108" w:rsidP="00F04B93">
      <w:pPr>
        <w:rPr>
          <w:rFonts w:ascii="Calibri" w:hAnsi="Calibri" w:cs="Calibri"/>
          <w:color w:val="0070C0"/>
          <w:sz w:val="16"/>
          <w:szCs w:val="16"/>
        </w:rPr>
      </w:pPr>
    </w:p>
    <w:p w14:paraId="64132612" w14:textId="77777777" w:rsidR="00F862A5" w:rsidRPr="00F565A0" w:rsidRDefault="009716C6" w:rsidP="00F04B93">
      <w:pPr>
        <w:rPr>
          <w:rFonts w:ascii="Calibri" w:hAnsi="Calibri" w:cs="Calibri"/>
          <w:i/>
          <w:color w:val="0070C0"/>
          <w:sz w:val="20"/>
          <w:szCs w:val="20"/>
        </w:rPr>
        <w:sectPr w:rsidR="00F862A5" w:rsidRPr="00F565A0" w:rsidSect="00B7075D">
          <w:footerReference w:type="even" r:id="rId7"/>
          <w:footerReference w:type="default" r:id="rId8"/>
          <w:headerReference w:type="first" r:id="rId9"/>
          <w:footerReference w:type="first" r:id="rId10"/>
          <w:pgSz w:w="12240" w:h="15840"/>
          <w:pgMar w:top="720" w:right="720" w:bottom="720" w:left="720" w:header="720" w:footer="660" w:gutter="0"/>
          <w:cols w:num="2" w:space="720"/>
          <w:titlePg/>
          <w:docGrid w:linePitch="360"/>
        </w:sectPr>
      </w:pPr>
      <w:r>
        <w:rPr>
          <w:rFonts w:ascii="Calibri" w:hAnsi="Calibri" w:cs="Calibri"/>
          <w:i/>
          <w:color w:val="0070C0"/>
          <w:sz w:val="20"/>
          <w:szCs w:val="20"/>
        </w:rPr>
        <w:t>*</w:t>
      </w:r>
      <w:r w:rsidRPr="00E24A18">
        <w:rPr>
          <w:rFonts w:ascii="Calibri" w:hAnsi="Calibri" w:cs="Calibri"/>
          <w:i/>
          <w:color w:val="0070C0"/>
          <w:sz w:val="20"/>
          <w:szCs w:val="20"/>
        </w:rPr>
        <w:t xml:space="preserve">Please note that not all parts of </w:t>
      </w:r>
      <w:r w:rsidR="00945FFD">
        <w:rPr>
          <w:rFonts w:ascii="Calibri" w:hAnsi="Calibri" w:cs="Calibri"/>
          <w:i/>
          <w:color w:val="0070C0"/>
          <w:sz w:val="20"/>
          <w:szCs w:val="20"/>
        </w:rPr>
        <w:t>Lynn</w:t>
      </w:r>
      <w:r w:rsidRPr="00E24A18">
        <w:rPr>
          <w:rFonts w:ascii="Calibri" w:hAnsi="Calibri" w:cs="Calibri"/>
          <w:i/>
          <w:color w:val="0070C0"/>
          <w:sz w:val="20"/>
          <w:szCs w:val="20"/>
        </w:rPr>
        <w:t xml:space="preserve"> are </w:t>
      </w:r>
      <w:r w:rsidR="00DB2057">
        <w:rPr>
          <w:rFonts w:ascii="Calibri" w:hAnsi="Calibri" w:cs="Calibri"/>
          <w:i/>
          <w:color w:val="0070C0"/>
          <w:sz w:val="20"/>
          <w:szCs w:val="20"/>
        </w:rPr>
        <w:t>SNO Mass Opportunity Areas.</w:t>
      </w:r>
      <w:r w:rsidR="00F565A0">
        <w:rPr>
          <w:rFonts w:ascii="Calibri" w:hAnsi="Calibri" w:cs="Calibri"/>
          <w:i/>
          <w:color w:val="0070C0"/>
          <w:sz w:val="20"/>
          <w:szCs w:val="20"/>
        </w:rPr>
        <w:t xml:space="preserve"> See map on reverse page.</w:t>
      </w:r>
    </w:p>
    <w:p w14:paraId="4DA863E5" w14:textId="77777777" w:rsidR="00232E95" w:rsidRPr="00232E95" w:rsidRDefault="00232E95" w:rsidP="00232E95">
      <w:pPr>
        <w:pStyle w:val="Heading2"/>
        <w:pBdr>
          <w:bottom w:val="single" w:sz="8" w:space="0" w:color="418AB3" w:themeColor="accent1"/>
        </w:pBdr>
        <w:rPr>
          <w:color w:val="0070C0"/>
        </w:rPr>
      </w:pPr>
      <w:r>
        <w:rPr>
          <w:color w:val="0070C0"/>
        </w:rPr>
        <w:lastRenderedPageBreak/>
        <w:t>Local Amenities</w:t>
      </w:r>
    </w:p>
    <w:p w14:paraId="500D1C7C" w14:textId="77777777" w:rsidR="00637275" w:rsidRPr="00637275" w:rsidRDefault="00637275" w:rsidP="00637275">
      <w:pPr>
        <w:rPr>
          <w:rFonts w:ascii="Calibri" w:hAnsi="Calibri" w:cs="Calibri"/>
          <w:color w:val="0070C0"/>
          <w:sz w:val="20"/>
          <w:szCs w:val="20"/>
        </w:rPr>
      </w:pPr>
      <w:r w:rsidRPr="00637275">
        <w:rPr>
          <w:rFonts w:ascii="Calibri" w:hAnsi="Calibri" w:cs="Calibri"/>
          <w:color w:val="0070C0"/>
          <w:sz w:val="20"/>
          <w:szCs w:val="20"/>
        </w:rPr>
        <w:t xml:space="preserve">Lynn is known for its contemporary public art, immigrant population, historic architecture, downtown cultural district, loft-style apartments, and public parks and open spaces, which include the oceanfront Lynn Shore Reservation; the 2,200-acre, Lynn Woods Reservation; and the High Rock Tower Reservation; and Gannon Golf Course. Lynn also is home to the Lynn Museum and Historical Society, the Lynn Memorial Auditorium, Lynn Heritage State Park, the southernmost portion of the Essex Coastal Scenic Byway, and the seaside, National Register-listed Diamond Historic District. There are also many notable shops and restaurants that make Lynn their home; The Blue OX, Rossetti’s, Antique Table, Capital Diner, RFO Sullivan’s, </w:t>
      </w:r>
      <w:proofErr w:type="spellStart"/>
      <w:r w:rsidRPr="00637275">
        <w:rPr>
          <w:rFonts w:ascii="Calibri" w:hAnsi="Calibri" w:cs="Calibri"/>
          <w:color w:val="0070C0"/>
          <w:sz w:val="20"/>
          <w:szCs w:val="20"/>
        </w:rPr>
        <w:t>Rolly’s</w:t>
      </w:r>
      <w:proofErr w:type="spellEnd"/>
      <w:r w:rsidRPr="00637275">
        <w:rPr>
          <w:rFonts w:ascii="Calibri" w:hAnsi="Calibri" w:cs="Calibri"/>
          <w:color w:val="0070C0"/>
          <w:sz w:val="20"/>
          <w:szCs w:val="20"/>
        </w:rPr>
        <w:t xml:space="preserve"> Tavern, Brothers Deli, and </w:t>
      </w:r>
      <w:proofErr w:type="spellStart"/>
      <w:r w:rsidRPr="00637275">
        <w:rPr>
          <w:rFonts w:ascii="Calibri" w:hAnsi="Calibri" w:cs="Calibri"/>
          <w:color w:val="0070C0"/>
          <w:sz w:val="20"/>
          <w:szCs w:val="20"/>
        </w:rPr>
        <w:t>Zimman’s</w:t>
      </w:r>
      <w:proofErr w:type="spellEnd"/>
      <w:r w:rsidRPr="00637275">
        <w:rPr>
          <w:rFonts w:ascii="Calibri" w:hAnsi="Calibri" w:cs="Calibri"/>
          <w:color w:val="0070C0"/>
          <w:sz w:val="20"/>
          <w:szCs w:val="20"/>
        </w:rPr>
        <w:t xml:space="preserve"> fabric store to name a few. </w:t>
      </w:r>
    </w:p>
    <w:p w14:paraId="220AA826" w14:textId="77777777" w:rsidR="00637275" w:rsidRPr="00637275" w:rsidRDefault="00637275" w:rsidP="00637275">
      <w:pPr>
        <w:rPr>
          <w:rFonts w:ascii="Calibri" w:hAnsi="Calibri" w:cs="Calibri"/>
          <w:color w:val="0070C0"/>
          <w:sz w:val="20"/>
          <w:szCs w:val="20"/>
        </w:rPr>
      </w:pPr>
    </w:p>
    <w:p w14:paraId="0DE19140" w14:textId="77777777" w:rsidR="00637275" w:rsidRPr="00637275" w:rsidRDefault="00637275" w:rsidP="00637275">
      <w:pPr>
        <w:rPr>
          <w:rFonts w:ascii="Calibri" w:hAnsi="Calibri" w:cs="Calibri"/>
          <w:color w:val="0070C0"/>
          <w:sz w:val="20"/>
          <w:szCs w:val="20"/>
        </w:rPr>
      </w:pPr>
      <w:r w:rsidRPr="00637275">
        <w:rPr>
          <w:rFonts w:ascii="Calibri" w:hAnsi="Calibri" w:cs="Calibri"/>
          <w:bCs/>
          <w:color w:val="0070C0"/>
          <w:sz w:val="20"/>
          <w:szCs w:val="20"/>
        </w:rPr>
        <w:t>The Lynn Woods Reservation</w:t>
      </w:r>
      <w:r w:rsidRPr="00637275">
        <w:rPr>
          <w:rFonts w:ascii="Calibri" w:hAnsi="Calibri" w:cs="Calibri"/>
          <w:b/>
          <w:bCs/>
          <w:color w:val="0070C0"/>
          <w:sz w:val="20"/>
          <w:szCs w:val="20"/>
        </w:rPr>
        <w:t> </w:t>
      </w:r>
      <w:r w:rsidRPr="00637275">
        <w:rPr>
          <w:rFonts w:ascii="Calibri" w:hAnsi="Calibri" w:cs="Calibri"/>
          <w:color w:val="0070C0"/>
          <w:sz w:val="20"/>
          <w:szCs w:val="20"/>
        </w:rPr>
        <w:t>was founded in 1881, the second largest municipal park in the United States, is a 2,200-acre municipal forest park located in Lynn, Massachusetts. The Woods offers over 30 miles of scenic trails for hiking, running, horseback riding, mountain biking and nature walks. Dungeon Rock is a well-loved underground tunnel with a history of pirate lore and treasure seekers. The Rose Garden, Houghton Horticultural Garden, and Amphitheater areas provide more formal settings to explore.</w:t>
      </w:r>
    </w:p>
    <w:p w14:paraId="218DF6C1" w14:textId="77777777" w:rsidR="00F862A5" w:rsidRDefault="00F862A5" w:rsidP="00F04B93">
      <w:pPr>
        <w:rPr>
          <w:rFonts w:ascii="Calibri" w:hAnsi="Calibri" w:cs="Calibri"/>
          <w:color w:val="0070C0"/>
          <w:sz w:val="20"/>
          <w:szCs w:val="20"/>
        </w:rPr>
      </w:pPr>
    </w:p>
    <w:p w14:paraId="5E400DEC" w14:textId="77777777" w:rsidR="00CF4108" w:rsidRDefault="00637275" w:rsidP="002F4B87">
      <w:pPr>
        <w:jc w:val="center"/>
        <w:rPr>
          <w:rFonts w:ascii="Calibri" w:hAnsi="Calibri" w:cs="Calibri"/>
          <w:color w:val="0070C0"/>
          <w:sz w:val="20"/>
          <w:szCs w:val="20"/>
        </w:rPr>
      </w:pPr>
      <w:r>
        <w:rPr>
          <w:noProof/>
        </w:rPr>
        <w:drawing>
          <wp:inline distT="0" distB="0" distL="0" distR="0" wp14:anchorId="3A4AD51B" wp14:editId="63DE382F">
            <wp:extent cx="2609850" cy="1849499"/>
            <wp:effectExtent l="0" t="0" r="0" b="0"/>
            <wp:docPr id="4" name="Picture 4" descr="Image result for lynn memorial audito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ynn memorial auditori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5535" cy="1860614"/>
                    </a:xfrm>
                    <a:prstGeom prst="rect">
                      <a:avLst/>
                    </a:prstGeom>
                    <a:noFill/>
                    <a:ln>
                      <a:noFill/>
                    </a:ln>
                  </pic:spPr>
                </pic:pic>
              </a:graphicData>
            </a:graphic>
          </wp:inline>
        </w:drawing>
      </w:r>
      <w:r w:rsidR="00956F60">
        <w:rPr>
          <w:rFonts w:ascii="Calibri" w:hAnsi="Calibri" w:cs="Calibri"/>
          <w:color w:val="0070C0"/>
          <w:sz w:val="20"/>
          <w:szCs w:val="20"/>
        </w:rPr>
        <w:t xml:space="preserve">   </w:t>
      </w:r>
      <w:r>
        <w:rPr>
          <w:noProof/>
        </w:rPr>
        <w:drawing>
          <wp:inline distT="0" distB="0" distL="0" distR="0" wp14:anchorId="5F1E58EF" wp14:editId="2A46BE50">
            <wp:extent cx="2446866" cy="18351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0555" cy="1845417"/>
                    </a:xfrm>
                    <a:prstGeom prst="rect">
                      <a:avLst/>
                    </a:prstGeom>
                    <a:noFill/>
                    <a:ln>
                      <a:noFill/>
                    </a:ln>
                  </pic:spPr>
                </pic:pic>
              </a:graphicData>
            </a:graphic>
          </wp:inline>
        </w:drawing>
      </w:r>
      <w:r w:rsidR="00956F60">
        <w:rPr>
          <w:rFonts w:ascii="Calibri" w:hAnsi="Calibri" w:cs="Calibri"/>
          <w:color w:val="0070C0"/>
          <w:sz w:val="20"/>
          <w:szCs w:val="20"/>
        </w:rPr>
        <w:t xml:space="preserve"> </w:t>
      </w:r>
      <w:r w:rsidR="000D4AC5">
        <w:rPr>
          <w:rFonts w:ascii="Calibri" w:hAnsi="Calibri" w:cs="Calibri"/>
          <w:color w:val="0070C0"/>
          <w:sz w:val="20"/>
          <w:szCs w:val="20"/>
        </w:rPr>
        <w:t xml:space="preserve">  </w:t>
      </w:r>
      <w:r w:rsidR="006E38FA">
        <w:rPr>
          <w:rFonts w:ascii="Calibri" w:hAnsi="Calibri" w:cs="Calibri"/>
          <w:color w:val="0070C0"/>
          <w:sz w:val="20"/>
          <w:szCs w:val="20"/>
        </w:rPr>
        <w:t xml:space="preserve">  </w:t>
      </w:r>
      <w:r w:rsidR="002F4B87">
        <w:rPr>
          <w:rFonts w:ascii="Calibri" w:hAnsi="Calibri" w:cs="Calibri"/>
          <w:color w:val="0070C0"/>
          <w:sz w:val="20"/>
          <w:szCs w:val="20"/>
        </w:rPr>
        <w:t xml:space="preserve"> </w:t>
      </w:r>
      <w:r w:rsidR="00E57FD7">
        <w:rPr>
          <w:rFonts w:ascii="Calibri" w:hAnsi="Calibri" w:cs="Calibri"/>
          <w:color w:val="0070C0"/>
          <w:sz w:val="20"/>
          <w:szCs w:val="20"/>
        </w:rPr>
        <w:t xml:space="preserve"> </w:t>
      </w:r>
      <w:r w:rsidR="002F4B87">
        <w:rPr>
          <w:rFonts w:ascii="Calibri" w:hAnsi="Calibri" w:cs="Calibri"/>
          <w:color w:val="0070C0"/>
          <w:sz w:val="20"/>
          <w:szCs w:val="20"/>
        </w:rPr>
        <w:t xml:space="preserve"> </w:t>
      </w:r>
    </w:p>
    <w:p w14:paraId="5A62FF55" w14:textId="77777777" w:rsidR="00637275" w:rsidRPr="00B511BD" w:rsidRDefault="00637275" w:rsidP="00637275">
      <w:pPr>
        <w:jc w:val="both"/>
        <w:rPr>
          <w:rFonts w:ascii="Calibri" w:hAnsi="Calibri" w:cs="Calibri"/>
          <w:sz w:val="18"/>
          <w:szCs w:val="18"/>
        </w:rPr>
      </w:pPr>
      <w:r>
        <w:rPr>
          <w:rFonts w:cstheme="minorHAnsi"/>
          <w:sz w:val="20"/>
          <w:szCs w:val="20"/>
        </w:rPr>
        <w:t xml:space="preserve">    </w:t>
      </w:r>
      <w:r>
        <w:rPr>
          <w:rFonts w:cstheme="minorHAnsi"/>
          <w:sz w:val="20"/>
          <w:szCs w:val="20"/>
        </w:rPr>
        <w:tab/>
      </w:r>
      <w:r>
        <w:rPr>
          <w:rFonts w:cstheme="minorHAnsi"/>
          <w:sz w:val="20"/>
          <w:szCs w:val="20"/>
        </w:rPr>
        <w:tab/>
      </w:r>
      <w:r w:rsidRPr="00B511BD">
        <w:rPr>
          <w:rFonts w:ascii="Calibri" w:hAnsi="Calibri" w:cs="Calibri"/>
          <w:color w:val="0070C0"/>
          <w:sz w:val="18"/>
          <w:szCs w:val="18"/>
        </w:rPr>
        <w:t>Lynn Memorial Auditorium and Lynn Woods Reservation (Photo Source: Boston.com / All Trails)</w:t>
      </w:r>
    </w:p>
    <w:p w14:paraId="22EA4F99" w14:textId="77777777" w:rsidR="002F4B87" w:rsidRDefault="002F4B87" w:rsidP="00F04B93">
      <w:pPr>
        <w:rPr>
          <w:rFonts w:ascii="Calibri" w:hAnsi="Calibri" w:cs="Calibri"/>
          <w:color w:val="0070C0"/>
          <w:sz w:val="20"/>
          <w:szCs w:val="20"/>
        </w:rPr>
      </w:pPr>
    </w:p>
    <w:p w14:paraId="11FC73C1" w14:textId="77777777" w:rsidR="000B209B" w:rsidRPr="00232E95" w:rsidRDefault="000B209B" w:rsidP="000B209B">
      <w:pPr>
        <w:pStyle w:val="Heading2"/>
        <w:pBdr>
          <w:bottom w:val="single" w:sz="8" w:space="0" w:color="418AB3" w:themeColor="accent1"/>
        </w:pBdr>
        <w:spacing w:before="0" w:after="0"/>
        <w:rPr>
          <w:color w:val="0070C0"/>
        </w:rPr>
      </w:pPr>
      <w:r>
        <w:rPr>
          <w:color w:val="0070C0"/>
        </w:rPr>
        <w:t>MAP</w:t>
      </w:r>
    </w:p>
    <w:p w14:paraId="1CF17E6B" w14:textId="77777777" w:rsidR="00CF4108" w:rsidRDefault="00CF4108" w:rsidP="002F4B87">
      <w:pPr>
        <w:rPr>
          <w:rFonts w:ascii="Calibri" w:hAnsi="Calibri" w:cs="Calibri"/>
          <w:color w:val="0070C0"/>
          <w:sz w:val="20"/>
          <w:szCs w:val="20"/>
        </w:rPr>
      </w:pPr>
    </w:p>
    <w:p w14:paraId="778B9766" w14:textId="77777777" w:rsidR="00CF4108" w:rsidRDefault="00B511BD" w:rsidP="00A22A70">
      <w:pPr>
        <w:jc w:val="center"/>
        <w:rPr>
          <w:rFonts w:ascii="Calibri" w:hAnsi="Calibri" w:cs="Calibri"/>
          <w:color w:val="0070C0"/>
          <w:sz w:val="20"/>
          <w:szCs w:val="20"/>
        </w:rPr>
      </w:pPr>
      <w:r>
        <w:rPr>
          <w:rFonts w:ascii="Calibri" w:hAnsi="Calibri" w:cs="Calibri"/>
          <w:noProof/>
          <w:color w:val="0070C0"/>
          <w:sz w:val="20"/>
          <w:szCs w:val="20"/>
        </w:rPr>
        <mc:AlternateContent>
          <mc:Choice Requires="wps">
            <w:drawing>
              <wp:anchor distT="0" distB="0" distL="114300" distR="114300" simplePos="0" relativeHeight="251659264" behindDoc="0" locked="0" layoutInCell="1" allowOverlap="1" wp14:anchorId="76FFD5B5" wp14:editId="4FB66801">
                <wp:simplePos x="0" y="0"/>
                <wp:positionH relativeFrom="column">
                  <wp:posOffset>818515</wp:posOffset>
                </wp:positionH>
                <wp:positionV relativeFrom="paragraph">
                  <wp:posOffset>1111250</wp:posOffset>
                </wp:positionV>
                <wp:extent cx="1438275" cy="45085"/>
                <wp:effectExtent l="0" t="114300" r="0" b="145415"/>
                <wp:wrapNone/>
                <wp:docPr id="25" name="Straight Arrow Connector 25"/>
                <wp:cNvGraphicFramePr/>
                <a:graphic xmlns:a="http://schemas.openxmlformats.org/drawingml/2006/main">
                  <a:graphicData uri="http://schemas.microsoft.com/office/word/2010/wordprocessingShape">
                    <wps:wsp>
                      <wps:cNvCnPr/>
                      <wps:spPr>
                        <a:xfrm>
                          <a:off x="0" y="0"/>
                          <a:ext cx="1438275" cy="45085"/>
                        </a:xfrm>
                        <a:prstGeom prst="straightConnector1">
                          <a:avLst/>
                        </a:prstGeom>
                        <a:ln w="698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A578F0" id="_x0000_t32" coordsize="21600,21600" o:spt="32" o:oned="t" path="m,l21600,21600e" filled="f">
                <v:path arrowok="t" fillok="f" o:connecttype="none"/>
                <o:lock v:ext="edit" shapetype="t"/>
              </v:shapetype>
              <v:shape id="Straight Arrow Connector 25" o:spid="_x0000_s1026" type="#_x0000_t32" style="position:absolute;margin-left:64.45pt;margin-top:87.5pt;width:113.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" strokecolor="#df5327 [3209]" strokeweight="5.5pt">
                <v:stroke endarrow="block" endcap="round"/>
              </v:shape>
            </w:pict>
          </mc:Fallback>
        </mc:AlternateContent>
      </w:r>
      <w:r>
        <w:rPr>
          <w:rFonts w:ascii="Calibri" w:hAnsi="Calibri" w:cs="Calibri"/>
          <w:noProof/>
          <w:color w:val="0070C0"/>
          <w:sz w:val="20"/>
          <w:szCs w:val="20"/>
        </w:rPr>
        <mc:AlternateContent>
          <mc:Choice Requires="wps">
            <w:drawing>
              <wp:anchor distT="0" distB="0" distL="114300" distR="114300" simplePos="0" relativeHeight="251660288" behindDoc="0" locked="0" layoutInCell="1" allowOverlap="1" wp14:anchorId="23C0D3E5" wp14:editId="378DB063">
                <wp:simplePos x="0" y="0"/>
                <wp:positionH relativeFrom="column">
                  <wp:posOffset>3670300</wp:posOffset>
                </wp:positionH>
                <wp:positionV relativeFrom="paragraph">
                  <wp:posOffset>975360</wp:posOffset>
                </wp:positionV>
                <wp:extent cx="1812925" cy="1517650"/>
                <wp:effectExtent l="19050" t="19050" r="15875" b="25400"/>
                <wp:wrapNone/>
                <wp:docPr id="26" name="Oval 26"/>
                <wp:cNvGraphicFramePr/>
                <a:graphic xmlns:a="http://schemas.openxmlformats.org/drawingml/2006/main">
                  <a:graphicData uri="http://schemas.microsoft.com/office/word/2010/wordprocessingShape">
                    <wps:wsp>
                      <wps:cNvSpPr/>
                      <wps:spPr>
                        <a:xfrm>
                          <a:off x="0" y="0"/>
                          <a:ext cx="1812925" cy="1517650"/>
                        </a:xfrm>
                        <a:prstGeom prst="ellipse">
                          <a:avLst/>
                        </a:prstGeom>
                        <a:noFill/>
                        <a:ln w="444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9B42F" id="Oval 26" o:spid="_x0000_s1026" style="position:absolute;margin-left:289pt;margin-top:76.8pt;width:142.7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" filled="f" strokecolor="#df5327 [3209]" strokeweight="3.5pt">
                <v:stroke endcap="round"/>
              </v:oval>
            </w:pict>
          </mc:Fallback>
        </mc:AlternateContent>
      </w:r>
      <w:r w:rsidR="00EC0EB5">
        <w:rPr>
          <w:rFonts w:ascii="Calibri" w:hAnsi="Calibri" w:cs="Calibri"/>
          <w:noProof/>
          <w:color w:val="0070C0"/>
          <w:sz w:val="20"/>
          <w:szCs w:val="20"/>
        </w:rPr>
        <w:drawing>
          <wp:inline distT="0" distB="0" distL="0" distR="0" wp14:anchorId="51B4A8A5" wp14:editId="1AB6A440">
            <wp:extent cx="1877395" cy="306123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ngmeadow Map.png"/>
                    <pic:cNvPicPr/>
                  </pic:nvPicPr>
                  <pic:blipFill rotWithShape="1">
                    <a:blip r:embed="rId13" cstate="print">
                      <a:extLst>
                        <a:ext uri="{28A0092B-C50C-407E-A947-70E740481C1C}">
                          <a14:useLocalDpi xmlns:a14="http://schemas.microsoft.com/office/drawing/2010/main" val="0"/>
                        </a:ext>
                      </a:extLst>
                    </a:blip>
                    <a:srcRect l="16070" r="15744" b="10601"/>
                    <a:stretch/>
                  </pic:blipFill>
                  <pic:spPr bwMode="auto">
                    <a:xfrm>
                      <a:off x="0" y="0"/>
                      <a:ext cx="1932934" cy="3151790"/>
                    </a:xfrm>
                    <a:prstGeom prst="rect">
                      <a:avLst/>
                    </a:prstGeom>
                    <a:ln>
                      <a:noFill/>
                    </a:ln>
                    <a:extLst>
                      <a:ext uri="{53640926-AAD7-44D8-BBD7-CCE9431645EC}">
                        <a14:shadowObscured xmlns:a14="http://schemas.microsoft.com/office/drawing/2010/main"/>
                      </a:ext>
                    </a:extLst>
                  </pic:spPr>
                </pic:pic>
              </a:graphicData>
            </a:graphic>
          </wp:inline>
        </w:drawing>
      </w:r>
      <w:r w:rsidR="00B4747F">
        <w:rPr>
          <w:rFonts w:ascii="Calibri" w:hAnsi="Calibri" w:cs="Calibri"/>
          <w:color w:val="0070C0"/>
          <w:sz w:val="20"/>
          <w:szCs w:val="20"/>
        </w:rPr>
        <w:t xml:space="preserve"> </w:t>
      </w:r>
      <w:r w:rsidR="00945FFD">
        <w:rPr>
          <w:rFonts w:ascii="Calibri" w:hAnsi="Calibri" w:cs="Calibri"/>
          <w:color w:val="0070C0"/>
          <w:sz w:val="20"/>
          <w:szCs w:val="20"/>
        </w:rPr>
        <w:t xml:space="preserve">     </w:t>
      </w:r>
      <w:r w:rsidR="00945FFD" w:rsidRPr="00945FFD">
        <w:rPr>
          <w:rFonts w:ascii="Calibri" w:hAnsi="Calibri" w:cs="Calibri"/>
          <w:noProof/>
          <w:color w:val="0070C0"/>
          <w:sz w:val="20"/>
          <w:szCs w:val="20"/>
        </w:rPr>
        <w:drawing>
          <wp:inline distT="0" distB="0" distL="0" distR="0" wp14:anchorId="6BC7EAB6" wp14:editId="6F84428C">
            <wp:extent cx="2914800"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4800" cy="2292468"/>
                    </a:xfrm>
                    <a:prstGeom prst="rect">
                      <a:avLst/>
                    </a:prstGeom>
                  </pic:spPr>
                </pic:pic>
              </a:graphicData>
            </a:graphic>
          </wp:inline>
        </w:drawing>
      </w:r>
    </w:p>
    <w:p w14:paraId="413C1DAA" w14:textId="77777777" w:rsidR="00EC0EB5" w:rsidRPr="00CF4108" w:rsidRDefault="00EC0EB5" w:rsidP="001F2D1E">
      <w:pPr>
        <w:jc w:val="center"/>
        <w:rPr>
          <w:rFonts w:ascii="Calibri" w:hAnsi="Calibri" w:cs="Calibri"/>
          <w:color w:val="0070C0"/>
          <w:sz w:val="20"/>
          <w:szCs w:val="20"/>
        </w:rPr>
      </w:pPr>
      <w:r>
        <w:rPr>
          <w:rFonts w:ascii="Calibri" w:hAnsi="Calibri" w:cs="Calibri"/>
          <w:noProof/>
          <w:color w:val="0070C0"/>
          <w:sz w:val="20"/>
          <w:szCs w:val="20"/>
        </w:rPr>
        <w:drawing>
          <wp:inline distT="0" distB="0" distL="0" distR="0" wp14:anchorId="3FF9ED92" wp14:editId="721BC57D">
            <wp:extent cx="3269615" cy="32696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ap Legend.png"/>
                    <pic:cNvPicPr/>
                  </pic:nvPicPr>
                  <pic:blipFill>
                    <a:blip r:embed="rId15">
                      <a:extLst>
                        <a:ext uri="{28A0092B-C50C-407E-A947-70E740481C1C}">
                          <a14:useLocalDpi xmlns:a14="http://schemas.microsoft.com/office/drawing/2010/main" val="0"/>
                        </a:ext>
                      </a:extLst>
                    </a:blip>
                    <a:stretch>
                      <a:fillRect/>
                    </a:stretch>
                  </pic:blipFill>
                  <pic:spPr>
                    <a:xfrm>
                      <a:off x="0" y="0"/>
                      <a:ext cx="3366314" cy="336632"/>
                    </a:xfrm>
                    <a:prstGeom prst="rect">
                      <a:avLst/>
                    </a:prstGeom>
                  </pic:spPr>
                </pic:pic>
              </a:graphicData>
            </a:graphic>
          </wp:inline>
        </w:drawing>
      </w:r>
    </w:p>
    <w:sectPr w:rsidR="00EC0EB5" w:rsidRPr="00CF4108" w:rsidSect="00292B9D">
      <w:headerReference w:type="first" r:id="rId16"/>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CAAC" w14:textId="77777777" w:rsidR="004B3D54" w:rsidRDefault="004B3D54" w:rsidP="00E1613F">
      <w:r>
        <w:separator/>
      </w:r>
    </w:p>
  </w:endnote>
  <w:endnote w:type="continuationSeparator" w:id="0">
    <w:p w14:paraId="0B25D272" w14:textId="77777777" w:rsidR="004B3D54" w:rsidRDefault="004B3D54" w:rsidP="00E1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601B" w14:textId="77777777" w:rsidR="00CF4108" w:rsidRDefault="00CF4108" w:rsidP="00A7016B">
    <w:pPr>
      <w:pStyle w:val="Footer"/>
      <w:tabs>
        <w:tab w:val="clear" w:pos="4680"/>
        <w:tab w:val="clear" w:pos="9360"/>
        <w:tab w:val="left" w:pos="3285"/>
      </w:tabs>
      <w:jc w:val="both"/>
    </w:pPr>
    <w:r>
      <w:rPr>
        <w:noProof/>
      </w:rPr>
      <w:drawing>
        <wp:inline distT="0" distB="0" distL="0" distR="0" wp14:anchorId="51831B10" wp14:editId="2DB20B0E">
          <wp:extent cx="2275282" cy="689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 Mass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2497888" cy="756838"/>
                  </a:xfrm>
                  <a:prstGeom prst="rect">
                    <a:avLst/>
                  </a:prstGeom>
                </pic:spPr>
              </pic:pic>
            </a:graphicData>
          </a:graphic>
        </wp:inline>
      </w:drawing>
    </w:r>
    <w:r w:rsidR="00ED0640">
      <w:t xml:space="preserve">                                                                                                   </w:t>
    </w:r>
    <w:r w:rsidR="00ED0640" w:rsidRPr="00ED0640">
      <w:rPr>
        <w:rFonts w:ascii="Calibri" w:hAnsi="Calibri" w:cs="Calibri"/>
        <w:b/>
        <w:sz w:val="24"/>
        <w:szCs w:val="24"/>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8B1E7" w14:textId="77777777" w:rsidR="00E1613F" w:rsidRDefault="00ED0640" w:rsidP="00ED06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782C" w14:textId="77777777" w:rsidR="00B7075D" w:rsidRDefault="00DF546C" w:rsidP="001568D1">
    <w:pPr>
      <w:pStyle w:val="Footer"/>
      <w:jc w:val="center"/>
    </w:pPr>
    <w:r>
      <w:rPr>
        <w:noProof/>
      </w:rPr>
      <w:drawing>
        <wp:inline distT="0" distB="0" distL="0" distR="0" wp14:anchorId="225EF48D" wp14:editId="2FD87E3F">
          <wp:extent cx="2275282" cy="689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 Mass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2497888" cy="7568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4493E" w14:textId="77777777" w:rsidR="004B3D54" w:rsidRDefault="004B3D54" w:rsidP="00E1613F">
      <w:r>
        <w:separator/>
      </w:r>
    </w:p>
  </w:footnote>
  <w:footnote w:type="continuationSeparator" w:id="0">
    <w:p w14:paraId="037CBFCF" w14:textId="77777777" w:rsidR="004B3D54" w:rsidRDefault="004B3D54" w:rsidP="00E16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399D" w14:textId="77777777" w:rsidR="00292B9D" w:rsidRDefault="00292B9D" w:rsidP="00292B9D">
    <w:pPr>
      <w:jc w:val="center"/>
      <w:rPr>
        <w:color w:val="009E47"/>
        <w:sz w:val="52"/>
        <w:szCs w:val="52"/>
      </w:rPr>
    </w:pPr>
    <w:r>
      <w:rPr>
        <w:color w:val="009E47"/>
        <w:sz w:val="52"/>
        <w:szCs w:val="52"/>
      </w:rPr>
      <w:t>Lynn</w:t>
    </w:r>
  </w:p>
  <w:p w14:paraId="7AB6FA39" w14:textId="77777777" w:rsidR="00BE643C" w:rsidRPr="00292B9D" w:rsidRDefault="00BE643C" w:rsidP="00292B9D">
    <w:pPr>
      <w:rPr>
        <w:color w:val="009E47"/>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454F" w14:textId="77777777" w:rsidR="00B511BD" w:rsidRPr="00292B9D" w:rsidRDefault="00B511BD" w:rsidP="00292B9D">
    <w:pPr>
      <w:rPr>
        <w:color w:val="009E47"/>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C3"/>
    <w:rsid w:val="000137CC"/>
    <w:rsid w:val="00020906"/>
    <w:rsid w:val="00027553"/>
    <w:rsid w:val="00031C35"/>
    <w:rsid w:val="00033BB0"/>
    <w:rsid w:val="00043E63"/>
    <w:rsid w:val="00050DAF"/>
    <w:rsid w:val="00057298"/>
    <w:rsid w:val="0006351C"/>
    <w:rsid w:val="00065E1A"/>
    <w:rsid w:val="00082552"/>
    <w:rsid w:val="00097949"/>
    <w:rsid w:val="000B209B"/>
    <w:rsid w:val="000B57EC"/>
    <w:rsid w:val="000B6A05"/>
    <w:rsid w:val="000C4909"/>
    <w:rsid w:val="000D4AC5"/>
    <w:rsid w:val="000E49BF"/>
    <w:rsid w:val="000F4861"/>
    <w:rsid w:val="00126C90"/>
    <w:rsid w:val="00154E47"/>
    <w:rsid w:val="001568D1"/>
    <w:rsid w:val="0018043A"/>
    <w:rsid w:val="00182BA3"/>
    <w:rsid w:val="001935D8"/>
    <w:rsid w:val="001B42DF"/>
    <w:rsid w:val="001B713B"/>
    <w:rsid w:val="001B7248"/>
    <w:rsid w:val="001D2DE0"/>
    <w:rsid w:val="001F10D7"/>
    <w:rsid w:val="001F2D1E"/>
    <w:rsid w:val="001F4864"/>
    <w:rsid w:val="00232E95"/>
    <w:rsid w:val="00237836"/>
    <w:rsid w:val="0024304C"/>
    <w:rsid w:val="0025238E"/>
    <w:rsid w:val="0027182B"/>
    <w:rsid w:val="0028020F"/>
    <w:rsid w:val="0028067A"/>
    <w:rsid w:val="00292B9D"/>
    <w:rsid w:val="00297318"/>
    <w:rsid w:val="002A5F85"/>
    <w:rsid w:val="002A7EA5"/>
    <w:rsid w:val="002B09F1"/>
    <w:rsid w:val="002B7599"/>
    <w:rsid w:val="002F4B87"/>
    <w:rsid w:val="002F52FC"/>
    <w:rsid w:val="002F7544"/>
    <w:rsid w:val="00300A47"/>
    <w:rsid w:val="00335E73"/>
    <w:rsid w:val="00337EA4"/>
    <w:rsid w:val="00342274"/>
    <w:rsid w:val="003515E3"/>
    <w:rsid w:val="003561A6"/>
    <w:rsid w:val="00374503"/>
    <w:rsid w:val="0037773C"/>
    <w:rsid w:val="003863DE"/>
    <w:rsid w:val="003C51CC"/>
    <w:rsid w:val="003D5DFA"/>
    <w:rsid w:val="003E1BB6"/>
    <w:rsid w:val="003E69A9"/>
    <w:rsid w:val="003E701C"/>
    <w:rsid w:val="004256BA"/>
    <w:rsid w:val="00442B8D"/>
    <w:rsid w:val="00443753"/>
    <w:rsid w:val="0045595D"/>
    <w:rsid w:val="00487673"/>
    <w:rsid w:val="004B2199"/>
    <w:rsid w:val="004B2BBC"/>
    <w:rsid w:val="004B3D54"/>
    <w:rsid w:val="004B650E"/>
    <w:rsid w:val="004C03F7"/>
    <w:rsid w:val="004C2E55"/>
    <w:rsid w:val="004C5EFA"/>
    <w:rsid w:val="004D0B51"/>
    <w:rsid w:val="004D63BF"/>
    <w:rsid w:val="004F6622"/>
    <w:rsid w:val="005117FE"/>
    <w:rsid w:val="005165B0"/>
    <w:rsid w:val="0052325A"/>
    <w:rsid w:val="00534550"/>
    <w:rsid w:val="00540214"/>
    <w:rsid w:val="00551A56"/>
    <w:rsid w:val="005776E6"/>
    <w:rsid w:val="00585406"/>
    <w:rsid w:val="00594C04"/>
    <w:rsid w:val="005B3C31"/>
    <w:rsid w:val="005C7C96"/>
    <w:rsid w:val="005D388A"/>
    <w:rsid w:val="00604108"/>
    <w:rsid w:val="00616FE8"/>
    <w:rsid w:val="00617D33"/>
    <w:rsid w:val="0062164E"/>
    <w:rsid w:val="00637275"/>
    <w:rsid w:val="00641FA2"/>
    <w:rsid w:val="006456EE"/>
    <w:rsid w:val="0066278C"/>
    <w:rsid w:val="00685194"/>
    <w:rsid w:val="0069612C"/>
    <w:rsid w:val="006C5632"/>
    <w:rsid w:val="006C680A"/>
    <w:rsid w:val="006E02DA"/>
    <w:rsid w:val="006E38FA"/>
    <w:rsid w:val="006E65C6"/>
    <w:rsid w:val="00702B23"/>
    <w:rsid w:val="00706806"/>
    <w:rsid w:val="00711CF4"/>
    <w:rsid w:val="00742351"/>
    <w:rsid w:val="00753B45"/>
    <w:rsid w:val="007551B0"/>
    <w:rsid w:val="00757188"/>
    <w:rsid w:val="00776A84"/>
    <w:rsid w:val="0079116E"/>
    <w:rsid w:val="00795009"/>
    <w:rsid w:val="00797163"/>
    <w:rsid w:val="007C0041"/>
    <w:rsid w:val="007E1D30"/>
    <w:rsid w:val="007E3489"/>
    <w:rsid w:val="007F0DD4"/>
    <w:rsid w:val="0081308B"/>
    <w:rsid w:val="008216E6"/>
    <w:rsid w:val="00835CD3"/>
    <w:rsid w:val="008475F1"/>
    <w:rsid w:val="008567C2"/>
    <w:rsid w:val="00863487"/>
    <w:rsid w:val="00872182"/>
    <w:rsid w:val="00872B49"/>
    <w:rsid w:val="008C2516"/>
    <w:rsid w:val="008C4720"/>
    <w:rsid w:val="008E2199"/>
    <w:rsid w:val="00906839"/>
    <w:rsid w:val="009106C7"/>
    <w:rsid w:val="00930AE8"/>
    <w:rsid w:val="00945FFD"/>
    <w:rsid w:val="00956F60"/>
    <w:rsid w:val="009572BC"/>
    <w:rsid w:val="009716C6"/>
    <w:rsid w:val="00981870"/>
    <w:rsid w:val="00986CA7"/>
    <w:rsid w:val="0099785E"/>
    <w:rsid w:val="009A0171"/>
    <w:rsid w:val="009B1B09"/>
    <w:rsid w:val="009C5DA1"/>
    <w:rsid w:val="009D153E"/>
    <w:rsid w:val="009E0BB8"/>
    <w:rsid w:val="009E6068"/>
    <w:rsid w:val="009F4D5F"/>
    <w:rsid w:val="009F67C3"/>
    <w:rsid w:val="00A22A70"/>
    <w:rsid w:val="00A501CD"/>
    <w:rsid w:val="00A52C91"/>
    <w:rsid w:val="00A670ED"/>
    <w:rsid w:val="00A7016B"/>
    <w:rsid w:val="00A73B99"/>
    <w:rsid w:val="00AB57F6"/>
    <w:rsid w:val="00AD024C"/>
    <w:rsid w:val="00AD5E60"/>
    <w:rsid w:val="00AE38D1"/>
    <w:rsid w:val="00AE6530"/>
    <w:rsid w:val="00B20299"/>
    <w:rsid w:val="00B27C32"/>
    <w:rsid w:val="00B3234E"/>
    <w:rsid w:val="00B34161"/>
    <w:rsid w:val="00B41D57"/>
    <w:rsid w:val="00B43275"/>
    <w:rsid w:val="00B4747F"/>
    <w:rsid w:val="00B511BD"/>
    <w:rsid w:val="00B65CA0"/>
    <w:rsid w:val="00B7075D"/>
    <w:rsid w:val="00B7617F"/>
    <w:rsid w:val="00B76682"/>
    <w:rsid w:val="00BA47B1"/>
    <w:rsid w:val="00BB55AD"/>
    <w:rsid w:val="00BC0091"/>
    <w:rsid w:val="00BC098F"/>
    <w:rsid w:val="00BC70C2"/>
    <w:rsid w:val="00BD22D0"/>
    <w:rsid w:val="00BE643C"/>
    <w:rsid w:val="00BE7A05"/>
    <w:rsid w:val="00BF4E0E"/>
    <w:rsid w:val="00C30C98"/>
    <w:rsid w:val="00C34B4F"/>
    <w:rsid w:val="00C626A5"/>
    <w:rsid w:val="00C81B5F"/>
    <w:rsid w:val="00C82D57"/>
    <w:rsid w:val="00CA27DF"/>
    <w:rsid w:val="00CA5A81"/>
    <w:rsid w:val="00CB1915"/>
    <w:rsid w:val="00CB4CC9"/>
    <w:rsid w:val="00CD3503"/>
    <w:rsid w:val="00CD7843"/>
    <w:rsid w:val="00CE1701"/>
    <w:rsid w:val="00CE337F"/>
    <w:rsid w:val="00CF4108"/>
    <w:rsid w:val="00D01310"/>
    <w:rsid w:val="00D0683D"/>
    <w:rsid w:val="00D07944"/>
    <w:rsid w:val="00D12461"/>
    <w:rsid w:val="00D2184F"/>
    <w:rsid w:val="00D534B9"/>
    <w:rsid w:val="00D55E38"/>
    <w:rsid w:val="00DA17EE"/>
    <w:rsid w:val="00DB2057"/>
    <w:rsid w:val="00DC1E19"/>
    <w:rsid w:val="00DC7328"/>
    <w:rsid w:val="00DD3902"/>
    <w:rsid w:val="00DD3E67"/>
    <w:rsid w:val="00DE51BE"/>
    <w:rsid w:val="00DF546C"/>
    <w:rsid w:val="00E04EBB"/>
    <w:rsid w:val="00E10C8D"/>
    <w:rsid w:val="00E1613F"/>
    <w:rsid w:val="00E248D5"/>
    <w:rsid w:val="00E24A18"/>
    <w:rsid w:val="00E25150"/>
    <w:rsid w:val="00E46501"/>
    <w:rsid w:val="00E57FD7"/>
    <w:rsid w:val="00EB20D6"/>
    <w:rsid w:val="00EB2852"/>
    <w:rsid w:val="00EC0EB5"/>
    <w:rsid w:val="00ED0640"/>
    <w:rsid w:val="00F04B93"/>
    <w:rsid w:val="00F10DE7"/>
    <w:rsid w:val="00F11DBB"/>
    <w:rsid w:val="00F20B48"/>
    <w:rsid w:val="00F25263"/>
    <w:rsid w:val="00F25BC3"/>
    <w:rsid w:val="00F3393B"/>
    <w:rsid w:val="00F56167"/>
    <w:rsid w:val="00F565A0"/>
    <w:rsid w:val="00F62999"/>
    <w:rsid w:val="00F67988"/>
    <w:rsid w:val="00F862A5"/>
    <w:rsid w:val="00F978B4"/>
    <w:rsid w:val="00FA0B5E"/>
    <w:rsid w:val="00FA247E"/>
    <w:rsid w:val="00FC15DA"/>
    <w:rsid w:val="00FC3116"/>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F1454"/>
  <w15:chartTrackingRefBased/>
  <w15:docId w15:val="{88338979-0946-412F-AB96-25CBACF5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82"/>
  </w:style>
  <w:style w:type="paragraph" w:styleId="Heading2">
    <w:name w:val="heading 2"/>
    <w:basedOn w:val="Normal"/>
    <w:next w:val="Normal"/>
    <w:link w:val="Heading2Char"/>
    <w:uiPriority w:val="9"/>
    <w:qFormat/>
    <w:rsid w:val="00232E95"/>
    <w:pPr>
      <w:keepNext/>
      <w:keepLines/>
      <w:pBdr>
        <w:bottom w:val="single" w:sz="8" w:space="1" w:color="418AB3" w:themeColor="accent1"/>
      </w:pBdr>
      <w:spacing w:before="240" w:after="120"/>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3F"/>
    <w:pPr>
      <w:tabs>
        <w:tab w:val="center" w:pos="4680"/>
        <w:tab w:val="right" w:pos="9360"/>
      </w:tabs>
    </w:pPr>
  </w:style>
  <w:style w:type="character" w:customStyle="1" w:styleId="HeaderChar">
    <w:name w:val="Header Char"/>
    <w:basedOn w:val="DefaultParagraphFont"/>
    <w:link w:val="Header"/>
    <w:uiPriority w:val="99"/>
    <w:rsid w:val="00E1613F"/>
  </w:style>
  <w:style w:type="paragraph" w:styleId="Footer">
    <w:name w:val="footer"/>
    <w:basedOn w:val="Normal"/>
    <w:link w:val="FooterChar"/>
    <w:uiPriority w:val="99"/>
    <w:unhideWhenUsed/>
    <w:rsid w:val="00E1613F"/>
    <w:pPr>
      <w:tabs>
        <w:tab w:val="center" w:pos="4680"/>
        <w:tab w:val="right" w:pos="9360"/>
      </w:tabs>
    </w:pPr>
  </w:style>
  <w:style w:type="character" w:customStyle="1" w:styleId="FooterChar">
    <w:name w:val="Footer Char"/>
    <w:basedOn w:val="DefaultParagraphFont"/>
    <w:link w:val="Footer"/>
    <w:uiPriority w:val="99"/>
    <w:rsid w:val="00E1613F"/>
  </w:style>
  <w:style w:type="table" w:styleId="TableGrid">
    <w:name w:val="Table Grid"/>
    <w:basedOn w:val="TableNormal"/>
    <w:uiPriority w:val="39"/>
    <w:rsid w:val="00E16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C90"/>
    <w:rPr>
      <w:rFonts w:ascii="Segoe UI" w:hAnsi="Segoe UI" w:cs="Segoe UI"/>
      <w:sz w:val="18"/>
      <w:szCs w:val="18"/>
    </w:rPr>
  </w:style>
  <w:style w:type="character" w:customStyle="1" w:styleId="Heading2Char">
    <w:name w:val="Heading 2 Char"/>
    <w:basedOn w:val="DefaultParagraphFont"/>
    <w:link w:val="Heading2"/>
    <w:uiPriority w:val="9"/>
    <w:rsid w:val="00232E95"/>
    <w:rPr>
      <w:rFonts w:asciiTheme="majorHAnsi" w:eastAsiaTheme="majorEastAsia" w:hAnsiTheme="majorHAnsi" w:cstheme="majorBidi"/>
      <w:b/>
      <w:bCs/>
      <w:caps/>
      <w:szCs w:val="26"/>
      <w:lang w:eastAsia="ja-JP"/>
    </w:rPr>
  </w:style>
  <w:style w:type="paragraph" w:customStyle="1" w:styleId="Style1">
    <w:name w:val="Style1"/>
    <w:basedOn w:val="Heading2"/>
    <w:link w:val="Style1Char"/>
    <w:qFormat/>
    <w:rsid w:val="00D55E38"/>
    <w:rPr>
      <w:color w:val="FFFFFF" w:themeColor="background1"/>
    </w:rPr>
  </w:style>
  <w:style w:type="paragraph" w:customStyle="1" w:styleId="Style2">
    <w:name w:val="Style2"/>
    <w:basedOn w:val="Style1"/>
    <w:link w:val="Style2Char"/>
    <w:qFormat/>
    <w:rsid w:val="00D55E38"/>
  </w:style>
  <w:style w:type="character" w:customStyle="1" w:styleId="Style1Char">
    <w:name w:val="Style1 Char"/>
    <w:basedOn w:val="Heading2Char"/>
    <w:link w:val="Style1"/>
    <w:rsid w:val="00D55E38"/>
    <w:rPr>
      <w:rFonts w:asciiTheme="majorHAnsi" w:eastAsiaTheme="majorEastAsia" w:hAnsiTheme="majorHAnsi" w:cstheme="majorBidi"/>
      <w:b/>
      <w:bCs/>
      <w:caps/>
      <w:color w:val="FFFFFF" w:themeColor="background1"/>
      <w:szCs w:val="26"/>
      <w:lang w:eastAsia="ja-JP"/>
    </w:rPr>
  </w:style>
  <w:style w:type="character" w:customStyle="1" w:styleId="Style2Char">
    <w:name w:val="Style2 Char"/>
    <w:basedOn w:val="Style1Char"/>
    <w:link w:val="Style2"/>
    <w:rsid w:val="00D55E38"/>
    <w:rPr>
      <w:rFonts w:asciiTheme="majorHAnsi" w:eastAsiaTheme="majorEastAsia" w:hAnsiTheme="majorHAnsi" w:cstheme="majorBidi"/>
      <w:b/>
      <w:bCs/>
      <w:caps/>
      <w:color w:val="FFFFFF" w:themeColor="background1"/>
      <w:szCs w:val="26"/>
      <w:lang w:eastAsia="ja-JP"/>
    </w:rPr>
  </w:style>
  <w:style w:type="character" w:styleId="Hyperlink">
    <w:name w:val="Hyperlink"/>
    <w:basedOn w:val="DefaultParagraphFont"/>
    <w:uiPriority w:val="99"/>
    <w:unhideWhenUsed/>
    <w:rsid w:val="00637275"/>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D520-023B-4AAE-B21C-D727F43B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Kristin (OCD)</dc:creator>
  <cp:keywords/>
  <dc:description/>
  <cp:lastModifiedBy>Alexa Shabecoff</cp:lastModifiedBy>
  <cp:revision>2</cp:revision>
  <cp:lastPrinted>2020-04-24T15:00:00Z</cp:lastPrinted>
  <dcterms:created xsi:type="dcterms:W3CDTF">2020-11-19T14:56:00Z</dcterms:created>
  <dcterms:modified xsi:type="dcterms:W3CDTF">2020-11-19T14:56:00Z</dcterms:modified>
</cp:coreProperties>
</file>